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LAGCGSKJFGS（Z）004</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华润煤业井下巷道掘进、维修及零星工程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华润煤业井下巷道掘进、维修及零星工程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范围：井下巷道维修、零星工程及零星用工等</w:t>
      </w:r>
      <w:r>
        <w:rPr>
          <w:rFonts w:hint="eastAsia" w:ascii="宋体" w:hAnsi="宋体" w:cs="宋体"/>
          <w:color w:val="000000" w:themeColor="text1"/>
          <w:sz w:val="24"/>
          <w:szCs w:val="24"/>
          <w:highlight w:val="none"/>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cs="宋体"/>
          <w:color w:val="000000" w:themeColor="text1"/>
          <w:sz w:val="24"/>
          <w:szCs w:val="24"/>
          <w:highlight w:val="none"/>
          <w:lang w:eastAsia="zh-CN"/>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338天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1、井巷及零星</w:t>
      </w:r>
      <w:r>
        <w:rPr>
          <w:rFonts w:hint="eastAsia" w:ascii="宋体" w:hAnsi="宋体" w:cs="宋体"/>
          <w:color w:val="000000" w:themeColor="text1"/>
          <w:sz w:val="24"/>
          <w:szCs w:val="24"/>
          <w:highlight w:val="none"/>
          <w:u w:val="single"/>
          <w:lang w:val="en-US" w:eastAsia="zh-CN"/>
          <w14:textFill>
            <w14:solidFill>
              <w14:schemeClr w14:val="tx1"/>
            </w14:solidFill>
          </w14:textFill>
        </w:rPr>
        <w:t>工程企业管理费：10.1/6.8%，利润7.2/5%，组织措施费：0.66/0.45%；2、井下安装工程：企业管理费%：15.8 利润%10.1组织措施费%：2.4；地面安装工程：企业管理费%：20.5 利润%11.2 组织措施费%：5.5。3、零星用工单价（不含税）：井下直接工360元/工，井下辅助工158元/工，地面辅助工100元/工，井上下系统维护运行零星用工144元/工日，通风系统局扇看护及维护、巷道洒水降尘维护、通风设施构筑，零星用工单价为212元/工日，排水系统水仓维护零星用工单价为221元/工日，供电系统变电所维护零星用工单价为206元/工日，监测监控维护零星用工单价为198元/工日，瓦斯抽采系统维护零星用工单价为221元/工日，运输系统皮带维护零星用工单价为216元/工日，风门看护零星用工单价为216元/工日，架空人车、绞车运行及维护零星用工单价为212元/工日，安全、通风巡查工单价为243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2026年1月27日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 xml:space="preserve">戴潇杰 </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15135555177</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2026年1月26日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井巷及零星</w:t>
      </w:r>
      <w:r>
        <w:rPr>
          <w:rFonts w:hint="eastAsia" w:ascii="宋体" w:hAnsi="宋体" w:eastAsia="宋体" w:cs="宋体"/>
          <w:color w:val="000000" w:themeColor="text1"/>
          <w:sz w:val="24"/>
          <w:szCs w:val="24"/>
          <w:highlight w:val="none"/>
          <w:u w:val="single"/>
          <w14:textFill>
            <w14:solidFill>
              <w14:schemeClr w14:val="tx1"/>
            </w14:solidFill>
          </w14:textFill>
        </w:rPr>
        <w:t>工程</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安装工程三项费率按双方谈判完成的费率计取；其他签证及零星工程按税前70%计取</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零星用工不含税单价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bookmarkStart w:id="129" w:name="_GoBack"/>
      <w:bookmarkEnd w:id="129"/>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none"/>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%的增值税</w:t>
      </w:r>
      <w:r>
        <w:rPr>
          <w:rFonts w:hint="eastAsia" w:ascii="宋体" w:hAnsi="宋体" w:cs="宋体"/>
          <w:color w:val="000000" w:themeColor="text1"/>
          <w:sz w:val="24"/>
          <w:szCs w:val="24"/>
          <w:highlight w:val="none"/>
          <w:u w:val="single"/>
          <w:lang w:val="en-US" w:eastAsia="zh-CN"/>
          <w14:textFill>
            <w14:solidFill>
              <w14:schemeClr w14:val="tx1"/>
            </w14:solidFill>
          </w14:textFill>
        </w:rPr>
        <w:t>专用</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9602796"/>
      <w:bookmarkStart w:id="1" w:name="_Toc384026351"/>
      <w:bookmarkStart w:id="2" w:name="_Toc383940877"/>
      <w:bookmarkStart w:id="3" w:name="_Toc384137522"/>
      <w:bookmarkStart w:id="4" w:name="_Toc389663453"/>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89586296"/>
      <w:bookmarkStart w:id="6" w:name="_Toc371493141"/>
      <w:bookmarkStart w:id="7" w:name="_Toc351203481"/>
      <w:bookmarkStart w:id="8" w:name="_Toc384026352"/>
      <w:bookmarkStart w:id="9" w:name="_Toc389663454"/>
      <w:bookmarkStart w:id="10" w:name="_Toc383940878"/>
      <w:bookmarkStart w:id="11" w:name="_Toc389602797"/>
      <w:bookmarkStart w:id="12" w:name="_Toc384137523"/>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71493142"/>
      <w:bookmarkStart w:id="14" w:name="_Toc351203482"/>
      <w:bookmarkStart w:id="15" w:name="_Toc389586297"/>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4137526"/>
      <w:bookmarkStart w:id="17" w:name="_Toc389663457"/>
      <w:bookmarkStart w:id="18" w:name="_Toc383940881"/>
      <w:bookmarkStart w:id="19" w:name="_Toc384026355"/>
      <w:bookmarkStart w:id="20" w:name="_Toc389602800"/>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9602802"/>
      <w:bookmarkStart w:id="22" w:name="_Toc384137528"/>
      <w:bookmarkStart w:id="23" w:name="_Toc384026357"/>
      <w:bookmarkStart w:id="24" w:name="_Toc383940883"/>
      <w:bookmarkStart w:id="25" w:name="_Toc389663459"/>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9602803"/>
      <w:bookmarkStart w:id="27" w:name="_Toc383940884"/>
      <w:bookmarkStart w:id="28" w:name="_Toc384137529"/>
      <w:bookmarkStart w:id="29" w:name="_Toc389663460"/>
      <w:bookmarkStart w:id="30" w:name="_Toc384026358"/>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3940993"/>
      <w:bookmarkStart w:id="32" w:name="_Toc389663546"/>
      <w:bookmarkStart w:id="33" w:name="_Toc384026467"/>
      <w:bookmarkStart w:id="34" w:name="_Toc384137615"/>
      <w:bookmarkStart w:id="35" w:name="_Toc389602889"/>
      <w:bookmarkStart w:id="36" w:name="_Toc383940885"/>
      <w:bookmarkStart w:id="37" w:name="_Toc389602804"/>
      <w:bookmarkStart w:id="38" w:name="_Toc389663461"/>
      <w:bookmarkStart w:id="39" w:name="_Toc384137530"/>
      <w:bookmarkStart w:id="40" w:name="_Toc384026359"/>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48"/>
        <w:rPr>
          <w:rFonts w:hint="eastAsia" w:ascii="宋体" w:hAnsi="宋体" w:cs="宋体"/>
          <w:color w:val="auto"/>
          <w:sz w:val="24"/>
          <w:szCs w:val="24"/>
          <w:highlight w:val="none"/>
          <w:lang w:eastAsia="zh-CN"/>
        </w:rPr>
      </w:pPr>
    </w:p>
    <w:p w14:paraId="2969EBAF">
      <w:pPr>
        <w:pStyle w:val="7"/>
        <w:rPr>
          <w:rFonts w:hint="eastAsia"/>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4054024"/>
      <w:bookmarkStart w:id="43" w:name="_Toc384026469"/>
      <w:bookmarkStart w:id="44" w:name="_Toc384137617"/>
      <w:bookmarkStart w:id="45" w:name="_Toc383940995"/>
      <w:bookmarkStart w:id="46" w:name="_Toc389663548"/>
      <w:bookmarkStart w:id="47" w:name="_Toc389602891"/>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891054"/>
      <w:bookmarkStart w:id="123" w:name="_Toc296944565"/>
      <w:bookmarkStart w:id="124" w:name="_Toc296503226"/>
      <w:bookmarkStart w:id="125" w:name="_Toc267261693"/>
      <w:bookmarkStart w:id="126" w:name="_Toc296346727"/>
      <w:bookmarkStart w:id="127" w:name="_Toc296891266"/>
      <w:bookmarkStart w:id="128" w:name="_Toc296347225"/>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rPr>
        <w:t>甲乙双方根据《中华人民共和国建筑法》、《中华人民共和国安全生产法》和《建设工程安全生产管理条例》和</w:t>
      </w:r>
      <w:r>
        <w:rPr>
          <w:color w:val="auto"/>
        </w:rPr>
        <w:t>《煤矿安全规程》</w:t>
      </w:r>
      <w:r>
        <w:rPr>
          <w:rFonts w:hint="eastAsia"/>
          <w:color w:val="auto"/>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14</w:t>
      </w:r>
      <w:r>
        <w:rPr>
          <w:rFonts w:hint="eastAsia"/>
          <w:color w:val="auto"/>
          <w:lang w:eastAsia="zh-CN"/>
        </w:rPr>
        <w:t>、</w:t>
      </w:r>
      <w:r>
        <w:rPr>
          <w:rFonts w:hint="eastAsia"/>
          <w:color w:val="auto"/>
        </w:rPr>
        <w:t>承包人应对分包人提交的营业执照、施工资质和安全施工资格证书进行审查及备案，了解在此前的施工业绩及施工安全情况。</w:t>
      </w:r>
    </w:p>
    <w:p w14:paraId="1106C6A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15</w:t>
      </w:r>
      <w:r>
        <w:rPr>
          <w:rFonts w:hint="eastAsia"/>
          <w:color w:val="auto"/>
          <w:lang w:eastAsia="zh-CN"/>
        </w:rPr>
        <w:t>、</w:t>
      </w:r>
      <w:r>
        <w:rPr>
          <w:rFonts w:hint="eastAsia"/>
          <w:color w:val="auto"/>
        </w:rPr>
        <w:t>施工期间承包人应对分包人施工现场进行安全监督，发现违章作业及危及人身、设备安全时，应及时制止、纠正，必要时有权停止其工作，并向分包人提出整改要求。</w:t>
      </w:r>
    </w:p>
    <w:p w14:paraId="12FFE1E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16、承包人有协助分包人搞好安全生产、安全管理以及督促定期检查的义务，对承包人违反安全生产规定、制度等情况，分包人有要求承包人整改的权利。</w:t>
      </w:r>
    </w:p>
    <w:p w14:paraId="7D8EFE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5、分包人应当具备国家规定的注册资本、专业技术人员、技术装备和安全生产等条件，应向承包人提供真实、合法、有效的承包本工程所需相关资质证书；</w:t>
      </w:r>
    </w:p>
    <w:p w14:paraId="127A16E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7、分包人应遵守国家和地方关于劳动安全、劳务用工法律法规及规章制度，</w:t>
      </w:r>
    </w:p>
    <w:p w14:paraId="5A5E86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规范劳动用工制度，保证用工的合法性，维护职工权益，为从业人员提供符合国家</w:t>
      </w:r>
    </w:p>
    <w:p w14:paraId="0E1AC5B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标准或行业标准的劳动防护用品，为从业人员及时缴纳各种社会保险，及时发放工人工资。</w:t>
      </w:r>
    </w:p>
    <w:p w14:paraId="2ED473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14、分包人施工过程中应做到工完、料尽、场地清，确保安全文明施工。</w:t>
      </w:r>
    </w:p>
    <w:p w14:paraId="3C5BE45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15、分包人在施工期间必须严格执行和遵守承包人的安全生产、防火管理等各类规定，接受承包人的督促、检查和指导。</w:t>
      </w:r>
    </w:p>
    <w:p w14:paraId="0ACF1A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lang w:val="en-US" w:eastAsia="zh-CN"/>
        </w:rPr>
        <w:t>（七）</w:t>
      </w:r>
      <w:r>
        <w:rPr>
          <w:rFonts w:hint="eastAsia"/>
          <w:color w:val="auto"/>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rPr>
        <w:t>。</w:t>
      </w:r>
      <w:r>
        <w:rPr>
          <w:rFonts w:hint="eastAsia" w:ascii="宋体" w:hAnsi="宋体" w:eastAsia="宋体" w:cs="宋体"/>
          <w:color w:val="auto"/>
          <w:kern w:val="2"/>
          <w:sz w:val="24"/>
          <w:szCs w:val="24"/>
          <w:highlight w:val="none"/>
        </w:rPr>
        <w:t> </w:t>
      </w:r>
    </w:p>
    <w:p w14:paraId="2D9B542F">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4"/>
        <w:ind w:left="0" w:leftChars="0" w:firstLine="0" w:firstLineChars="0"/>
        <w:rPr>
          <w:rFonts w:hint="eastAsia" w:ascii="宋体" w:hAnsi="宋体" w:eastAsia="宋体" w:cs="宋体"/>
          <w:color w:val="auto"/>
          <w:sz w:val="24"/>
          <w:szCs w:val="24"/>
          <w:highlight w:val="none"/>
        </w:rPr>
      </w:pPr>
    </w:p>
    <w:p w14:paraId="50BCD2AA">
      <w:pPr>
        <w:pStyle w:val="15"/>
        <w:rPr>
          <w:rFonts w:hint="eastAsia" w:ascii="宋体" w:hAnsi="宋体" w:eastAsia="宋体" w:cs="宋体"/>
          <w:color w:val="auto"/>
          <w:sz w:val="24"/>
          <w:szCs w:val="24"/>
          <w:highlight w:val="none"/>
        </w:rPr>
      </w:pPr>
    </w:p>
    <w:p w14:paraId="44F5C0BC">
      <w:pPr>
        <w:pStyle w:val="15"/>
        <w:rPr>
          <w:rFonts w:hint="eastAsia" w:ascii="宋体" w:hAnsi="宋体" w:eastAsia="宋体" w:cs="宋体"/>
          <w:color w:val="auto"/>
          <w:sz w:val="24"/>
          <w:szCs w:val="24"/>
          <w:highlight w:val="none"/>
        </w:rPr>
      </w:pPr>
    </w:p>
    <w:p w14:paraId="4A3077D9">
      <w:pPr>
        <w:pStyle w:val="15"/>
        <w:rPr>
          <w:rFonts w:hint="eastAsia" w:ascii="宋体" w:hAnsi="宋体" w:eastAsia="宋体" w:cs="宋体"/>
          <w:color w:val="auto"/>
          <w:sz w:val="24"/>
          <w:szCs w:val="24"/>
          <w:highlight w:val="none"/>
        </w:rPr>
      </w:pPr>
    </w:p>
    <w:p w14:paraId="019A5B4C">
      <w:pPr>
        <w:pStyle w:val="15"/>
        <w:rPr>
          <w:rFonts w:hint="eastAsia" w:ascii="宋体" w:hAnsi="宋体" w:eastAsia="宋体" w:cs="宋体"/>
          <w:color w:val="auto"/>
          <w:sz w:val="24"/>
          <w:szCs w:val="24"/>
          <w:highlight w:val="none"/>
        </w:rPr>
      </w:pPr>
    </w:p>
    <w:p w14:paraId="5B044D87">
      <w:pPr>
        <w:pStyle w:val="15"/>
        <w:ind w:left="0" w:leftChars="0" w:firstLine="0" w:firstLineChars="0"/>
        <w:rPr>
          <w:rFonts w:hint="eastAsia" w:ascii="宋体" w:hAnsi="宋体" w:eastAsia="宋体" w:cs="宋体"/>
          <w:color w:val="auto"/>
          <w:sz w:val="24"/>
          <w:szCs w:val="24"/>
          <w:highlight w:val="none"/>
        </w:rPr>
      </w:pPr>
    </w:p>
    <w:p w14:paraId="5D159DF5">
      <w:pPr>
        <w:pStyle w:val="15"/>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18AA1009">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华润煤业井下巷道掘进、维修及零星工程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LAGCGSKJFGS（Z）004</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2976"/>
        <w:gridCol w:w="2461"/>
        <w:gridCol w:w="2462"/>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7" w:hRule="atLeast"/>
          <w:jc w:val="center"/>
        </w:trPr>
        <w:tc>
          <w:tcPr>
            <w:tcW w:w="194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899" w:type="dxa"/>
            <w:gridSpan w:val="3"/>
            <w:noWrap w:val="0"/>
            <w:vAlign w:val="center"/>
          </w:tcPr>
          <w:p w14:paraId="4FEEA1A6">
            <w:pPr>
              <w:keepNext w:val="0"/>
              <w:keepLines w:val="0"/>
              <w:pageBreakBefore w:val="0"/>
              <w:widowControl w:val="0"/>
              <w:numPr>
                <w:ilvl w:val="0"/>
                <w:numId w:val="3"/>
              </w:numPr>
              <w:kinsoku/>
              <w:wordWrap/>
              <w:overflowPunct/>
              <w:topLinePunct w:val="0"/>
              <w:autoSpaceDE/>
              <w:autoSpaceDN/>
              <w:bidi w:val="0"/>
              <w:adjustRightInd/>
              <w:snapToGrid w:val="0"/>
              <w:spacing w:line="240" w:lineRule="auto"/>
              <w:jc w:val="both"/>
              <w:textAlignment w:val="auto"/>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井巷</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及零星</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%；2、井下安装工程：企业管理费%：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。3、零星用工单价（不含税）：井下直接工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元/工，井上下系统维护运行零星用工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元/工日，通风系统局扇看护及维护、巷道洒水降尘维护、通风设施构筑，零星用工单价为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元/工日，排水系统水仓维护零星用工单价为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元/工日，供电系统变电所维护零星用工单价为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监测监控维护零星用工单价为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元/工日，瓦斯抽采系统维护零星用工单价为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元/工日，运输系统皮带维护零星用工单价为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元/工日，风门看护零星用工单价为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元/工日，架空人车、绞车运行及维护零星用工单价为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元/工日，安全、通风巡查工单价为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194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899"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1、井巷</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及零星</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工程企业管理费：10.1/6.8%，利润7.2/5%，组织措施费：0.66/0.45%；2、井下安装工程：企业管理费%：15.8 利润%10.1组织措施费%：2.4；地面安装工程：企业管理费%：20.5 利润%11.2 组织措施费%：5.5。3、零星用工单价（不含税）：井下直接工360元/工，井下辅助工158元/工，地面辅助工100元/工，井上下系统维护运行零星用工144元/工日，通风系统局扇看护及维护、巷道洒水降尘维护、通风设施构筑，零星用工单价为212元/工日，排水系统水仓维护零星用工单价为221元/工日，供电系统变电所维护零星用工单价为206元/工日，监测监控维护零星用工单价为198元/工日，瓦斯抽采系统维护零星用工单价为221元/工日，运输系统皮带维护零星用工单价为216元/工日，风门看护零星用工单价为216元/工日，架空人车、绞车运行及维护零星用工单价为212元/工日，安全、通风巡查工单价为243元/工日。</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94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899"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94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899"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338天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94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76"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6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62"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94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899"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jc w:val="center"/>
        </w:trPr>
        <w:tc>
          <w:tcPr>
            <w:tcW w:w="194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899" w:type="dxa"/>
            <w:gridSpan w:val="3"/>
            <w:noWrap w:val="0"/>
            <w:vAlign w:val="center"/>
          </w:tcPr>
          <w:p w14:paraId="019377ED">
            <w:pPr>
              <w:keepNext w:val="0"/>
              <w:keepLines w:val="0"/>
              <w:pageBreakBefore w:val="0"/>
              <w:widowControl w:val="0"/>
              <w:numPr>
                <w:ilvl w:val="0"/>
                <w:numId w:val="4"/>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井巷</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及零星</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%；2、井下安装工程：企业管理费%：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。3、零星用工单价（不含税）：井下直接工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元/工，井上下系统维护运行零星用工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元/工日，通风系统局扇看护及维护、巷道洒水降尘维护、通风设施构筑，零星用工单价为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元/工日，排水系统水仓维护零星用工单价为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元/工日，供电系统变电所维护零星用工单价为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监测监控维护零星用工单价为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元/工日，瓦斯抽采系统维护零星用工单价为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元/工日，运输系统皮带维护零星用工单价为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元/工日，风门看护零星用工单价为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元/工日，架空人车、绞车运行及维护零星用工单价为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元/工日，安全、通风巡查工单价为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983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12"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72E680"/>
    <w:multiLevelType w:val="singleLevel"/>
    <w:tmpl w:val="8B72E680"/>
    <w:lvl w:ilvl="0" w:tentative="0">
      <w:start w:val="1"/>
      <w:numFmt w:val="decimal"/>
      <w:suff w:val="nothing"/>
      <w:lvlText w:val="%1、"/>
      <w:lvlJc w:val="left"/>
    </w:lvl>
  </w:abstractNum>
  <w:abstractNum w:abstractNumId="1">
    <w:nsid w:val="9C2D0D51"/>
    <w:multiLevelType w:val="singleLevel"/>
    <w:tmpl w:val="9C2D0D51"/>
    <w:lvl w:ilvl="0" w:tentative="0">
      <w:start w:val="1"/>
      <w:numFmt w:val="decimal"/>
      <w:suff w:val="nothing"/>
      <w:lvlText w:val="%1、"/>
      <w:lvlJc w:val="left"/>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4C693C"/>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D753065"/>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B63973"/>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9DA3CF6"/>
    <w:rsid w:val="1A131456"/>
    <w:rsid w:val="1A3569FD"/>
    <w:rsid w:val="1A36182D"/>
    <w:rsid w:val="1A404921"/>
    <w:rsid w:val="1A5172CB"/>
    <w:rsid w:val="1A5823C6"/>
    <w:rsid w:val="1A5C140C"/>
    <w:rsid w:val="1A737F14"/>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86EE6"/>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8E7B26"/>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3D4FC4"/>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4B7502"/>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444B7D"/>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3C4289"/>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47</Pages>
  <Words>20039</Words>
  <Characters>21102</Characters>
  <Lines>173</Lines>
  <Paragraphs>48</Paragraphs>
  <TotalTime>1</TotalTime>
  <ScaleCrop>false</ScaleCrop>
  <LinksUpToDate>false</LinksUpToDate>
  <CharactersWithSpaces>23689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2026-02-28T01:24:59Z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4F8ECF769A4C42ADADA5B660EB6FC47A_13</vt:lpwstr>
  </property>
  <property fmtid="{D5CDD505-2E9C-101B-9397-08002B2CF9AE}" pid="4" name="KSOTemplateDocerSaveRecord">
    <vt:lpwstr>eyJoZGlkIjoiOGM3MzFjN2VmYWE3ZjVlZWQwZWRiMzBmNzAzZmVkZjkiLCJ1c2VySWQiOiIzOTUxOTg4NTgifQ==</vt:lpwstr>
  </property>
</Properties>
</file>