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bookmarkStart w:id="160" w:name="_GoBack"/>
      <w:bookmarkEnd w:id="160"/>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LAGCGSKJFGS（L）004</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掘进工程：六采区1#切眼底抽巷、六采区5#瓦斯治理巷、六采区胶带巷、六采区辅运巷、六采区进风石门、六采区2#瓦斯治理巷、3303进风巷等巷道掘进工程；零星工程：六采区胶带巷喷浆及硬化、六采区辅运巷喷浆及硬化、2306进风巷及切眼硬化；钻孔零星工程：释放孔、效检孔、底板探煤孔、超前探孔；零星用工：巷道洒水降尘维护工、排水系统水仓维护工、运输系统维护工、生产辅助、采掘安装辅运工、安全生产标准化、</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2026年</w:t>
      </w:r>
      <w:r>
        <w:rPr>
          <w:rFonts w:hint="eastAsia" w:ascii="宋体" w:hAnsi="宋体" w:cs="宋体"/>
          <w:color w:val="000000" w:themeColor="text1"/>
          <w:sz w:val="24"/>
          <w:szCs w:val="24"/>
          <w:highlight w:val="green"/>
          <w:lang w:val="en-US" w:eastAsia="zh-CN"/>
          <w14:textFill>
            <w14:solidFill>
              <w14:schemeClr w14:val="tx1"/>
            </w14:solidFill>
          </w14:textFill>
        </w:rPr>
        <w:t>1</w:t>
      </w:r>
      <w:r>
        <w:rPr>
          <w:rFonts w:hint="eastAsia" w:ascii="宋体" w:hAnsi="宋体" w:cs="宋体"/>
          <w:color w:val="000000" w:themeColor="text1"/>
          <w:sz w:val="24"/>
          <w:szCs w:val="24"/>
          <w:highlight w:val="green"/>
          <w:lang w:eastAsia="zh-C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8</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2026</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358天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43E72A3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七、工程最高控制价：井下巷道掘进及附属工程：企业管理费11.3/7.9%，利润7.7/5.3%，施工组织措施费0.78/0.54%；</w:t>
      </w:r>
    </w:p>
    <w:p w14:paraId="0FF9E8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地面安装工程：企业管理费20.8%，利润11.9%，施工组织措施费5.7%，井下安装工程：企业管理费15.9%，利润10.7%，施工组织措施费2.5%；</w:t>
      </w:r>
    </w:p>
    <w:p w14:paraId="4D83F55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超前探、释放钻、探煤孔、注浆孔等：φ94mm煤孔基价39元/米（不含税）；</w:t>
      </w:r>
    </w:p>
    <w:p w14:paraId="7B41F5C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井下签证工：171元/工日（不含税），地面签证工114元/工日（不含税）；</w:t>
      </w:r>
    </w:p>
    <w:p w14:paraId="772682E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green"/>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56ECF20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3989694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42A28AE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709D39A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3E128E0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0E66D6F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64E58367">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6EC3491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在巷道中施工的超前探、释放钻、探煤孔、注浆孔等钻孔：以Φ94mm煤孔为标准钻孔，基价按照双方谈判完成的单价（不含税）计取；煤孔按不同瓦斯含量取不同系数（W＜8m³/t，取1.05系数；8m³/t≤W＜12m³/t，取1.1系数；W≥12 m³/t，取1.15系数）；岩孔按煤孔基价的2倍计算；其余直径钻孔基价按标准孔径比例进行折算：折算后基价=基价×D/94元/米，D表示钻孔直径。</w:t>
      </w:r>
    </w:p>
    <w:p w14:paraId="3F36529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1F65B81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59B7A79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605E6EB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578CF4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137522"/>
      <w:bookmarkStart w:id="1" w:name="_Toc389663453"/>
      <w:bookmarkStart w:id="2" w:name="_Toc389602796"/>
      <w:bookmarkStart w:id="3" w:name="_Toc384026351"/>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89586296"/>
      <w:bookmarkStart w:id="7" w:name="_Toc351203481"/>
      <w:bookmarkStart w:id="8" w:name="_Toc384137523"/>
      <w:bookmarkStart w:id="9" w:name="_Toc384026352"/>
      <w:bookmarkStart w:id="10" w:name="_Toc383940878"/>
      <w:bookmarkStart w:id="11" w:name="_Toc389602797"/>
      <w:bookmarkStart w:id="12" w:name="_Toc389663454"/>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4137525"/>
      <w:bookmarkStart w:id="15" w:name="_Toc383940880"/>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9663457"/>
      <w:bookmarkStart w:id="20" w:name="_Toc383940881"/>
      <w:bookmarkStart w:id="21" w:name="_Toc384026355"/>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9663459"/>
      <w:bookmarkStart w:id="25" w:name="_Toc383940883"/>
      <w:bookmarkStart w:id="26" w:name="_Toc389602802"/>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4026358"/>
      <w:bookmarkStart w:id="30" w:name="_Toc384137529"/>
      <w:bookmarkStart w:id="31" w:name="_Toc389663460"/>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9663546"/>
      <w:bookmarkStart w:id="35" w:name="_Toc383940993"/>
      <w:bookmarkStart w:id="36" w:name="_Toc389602889"/>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137617"/>
      <w:bookmarkStart w:id="39" w:name="_Toc389663548"/>
      <w:bookmarkStart w:id="40" w:name="_Toc384054024"/>
      <w:bookmarkStart w:id="41" w:name="_Toc384026469"/>
      <w:bookmarkStart w:id="42" w:name="_Toc389602891"/>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63554"/>
      <w:bookmarkStart w:id="55" w:name="_Toc384054025"/>
      <w:bookmarkStart w:id="56" w:name="_Toc383940996"/>
      <w:bookmarkStart w:id="57" w:name="_Toc384026470"/>
      <w:bookmarkStart w:id="58" w:name="_Toc384137618"/>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63557"/>
      <w:bookmarkStart w:id="65" w:name="_Toc384137619"/>
      <w:bookmarkStart w:id="66" w:name="_Toc384026471"/>
      <w:bookmarkStart w:id="67" w:name="_Toc383940997"/>
      <w:bookmarkStart w:id="68" w:name="_Toc389602900"/>
      <w:bookmarkStart w:id="69" w:name="_Toc384054026"/>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26473"/>
      <w:bookmarkStart w:id="82" w:name="_Toc384054028"/>
      <w:bookmarkStart w:id="83" w:name="_Toc383940999"/>
      <w:bookmarkStart w:id="84" w:name="_Toc389602908"/>
      <w:bookmarkStart w:id="85" w:name="_Toc384137621"/>
      <w:bookmarkStart w:id="86" w:name="_Toc389663565"/>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63570"/>
      <w:bookmarkStart w:id="100" w:name="_Toc384137622"/>
      <w:bookmarkStart w:id="101" w:name="_Toc384054029"/>
      <w:bookmarkStart w:id="102" w:name="_Toc384026474"/>
      <w:bookmarkStart w:id="103" w:name="_Toc389602913"/>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3941003"/>
      <w:bookmarkStart w:id="111" w:name="_Toc389663582"/>
      <w:bookmarkStart w:id="112" w:name="_Toc389602925"/>
      <w:bookmarkStart w:id="113" w:name="_Toc384054032"/>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63585"/>
      <w:bookmarkStart w:id="118" w:name="_Toc383941004"/>
      <w:bookmarkStart w:id="119" w:name="_Toc384026478"/>
      <w:bookmarkStart w:id="120" w:name="_Toc384137626"/>
      <w:bookmarkStart w:id="121" w:name="_Toc384054033"/>
      <w:bookmarkStart w:id="122" w:name="_Toc389602929"/>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3941005"/>
      <w:bookmarkStart w:id="125" w:name="_Toc384137627"/>
      <w:bookmarkStart w:id="126" w:name="_Toc389602932"/>
      <w:bookmarkStart w:id="127" w:name="_Toc384026479"/>
      <w:bookmarkStart w:id="128" w:name="_Toc384054034"/>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63592"/>
      <w:bookmarkStart w:id="133" w:name="_Toc384137628"/>
      <w:bookmarkStart w:id="134" w:name="_Toc383941006"/>
      <w:bookmarkStart w:id="135" w:name="_Toc384054035"/>
      <w:bookmarkStart w:id="136" w:name="_Toc384026480"/>
      <w:bookmarkStart w:id="137" w:name="_Toc3896029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4054036"/>
      <w:bookmarkStart w:id="142" w:name="_Toc389602939"/>
      <w:bookmarkStart w:id="143" w:name="_Toc389663596"/>
      <w:bookmarkStart w:id="144" w:name="_Toc383941007"/>
      <w:bookmarkStart w:id="145" w:name="_Toc384026481"/>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02947"/>
      <w:bookmarkStart w:id="151" w:name="_Toc384137632"/>
      <w:bookmarkStart w:id="152" w:name="_Toc383941010"/>
      <w:bookmarkStart w:id="153" w:name="_Toc389663606"/>
      <w:bookmarkStart w:id="154" w:name="_Toc384026484"/>
      <w:bookmarkStart w:id="155" w:name="_Toc384054039"/>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w:t>
            </w:r>
            <w:r>
              <w:rPr>
                <w:rFonts w:hint="eastAsia" w:ascii="宋体" w:hAnsi="宋体" w:cs="宋体"/>
                <w:color w:val="000000" w:themeColor="text1"/>
                <w:sz w:val="24"/>
                <w:szCs w:val="24"/>
                <w:lang w:eastAsia="zh-CN"/>
                <w14:textFill>
                  <w14:solidFill>
                    <w14:schemeClr w14:val="tx1"/>
                  </w14:solidFill>
                </w14:textFill>
              </w:rPr>
              <w:t>2024年</w:t>
            </w:r>
            <w:r>
              <w:rPr>
                <w:rFonts w:hint="eastAsia" w:ascii="宋体" w:hAnsi="宋体" w:eastAsia="宋体" w:cs="宋体"/>
                <w:color w:val="000000" w:themeColor="text1"/>
                <w:sz w:val="24"/>
                <w:szCs w:val="24"/>
                <w14:textFill>
                  <w14:solidFill>
                    <w14:schemeClr w14:val="tx1"/>
                  </w14:solidFill>
                </w14:textFill>
              </w:rPr>
              <w:t>）经审计的年终审计财务报告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LAGCGSKJFGS（L）004</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u w:val="single"/>
          <w:lang w:val="en-US" w:eastAsia="zh-CN"/>
          <w14:textFill>
            <w14:solidFill>
              <w14:schemeClr w14:val="tx1"/>
            </w14:solidFill>
          </w14:textFill>
        </w:rPr>
      </w:pPr>
    </w:p>
    <w:p w14:paraId="6E9A2532">
      <w:pPr>
        <w:rPr>
          <w:rFonts w:hint="eastAsia" w:ascii="宋体" w:hAnsi="宋体" w:cs="宋体"/>
          <w:color w:val="000000" w:themeColor="text1"/>
          <w:sz w:val="28"/>
          <w:szCs w:val="28"/>
          <w:u w:val="single"/>
          <w:lang w:val="en-US" w:eastAsia="zh-CN"/>
          <w14:textFill>
            <w14:solidFill>
              <w14:schemeClr w14:val="tx1"/>
            </w14:solidFill>
          </w14:textFill>
        </w:rPr>
      </w:pPr>
    </w:p>
    <w:p w14:paraId="6C253E90">
      <w:pPr>
        <w:rPr>
          <w:rFonts w:hint="eastAsia" w:ascii="宋体" w:hAnsi="宋体" w:cs="宋体"/>
          <w:color w:val="000000" w:themeColor="text1"/>
          <w:sz w:val="20"/>
          <w:szCs w:val="20"/>
          <w:u w:val="none"/>
          <w:lang w:val="en-US" w:eastAsia="zh-CN"/>
          <w14:textFill>
            <w14:solidFill>
              <w14:schemeClr w14:val="tx1"/>
            </w14:solidFill>
          </w14:textFill>
        </w:rPr>
      </w:pPr>
    </w:p>
    <w:p w14:paraId="3D5653BA">
      <w:pPr>
        <w:rPr>
          <w:rFonts w:hint="eastAsia" w:ascii="宋体" w:hAnsi="宋体" w:cs="宋体"/>
          <w:color w:val="000000" w:themeColor="text1"/>
          <w:sz w:val="20"/>
          <w:szCs w:val="20"/>
          <w:u w:val="none"/>
          <w:lang w:val="en-US" w:eastAsia="zh-CN"/>
          <w14:textFill>
            <w14:solidFill>
              <w14:schemeClr w14:val="tx1"/>
            </w14:solidFill>
          </w14:textFill>
        </w:rPr>
      </w:pPr>
      <w:r>
        <w:rPr>
          <w:rFonts w:hint="eastAsia" w:ascii="宋体" w:hAnsi="宋体" w:cs="宋体"/>
          <w:color w:val="000000" w:themeColor="text1"/>
          <w:sz w:val="20"/>
          <w:szCs w:val="20"/>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u w:val="single"/>
          <w:lang w:val="en-US" w:eastAsia="zh-CN"/>
          <w14:textFill>
            <w14:solidFill>
              <w14:schemeClr w14:val="tx1"/>
            </w14:solidFill>
          </w14:textFill>
        </w:rPr>
      </w:pPr>
      <w:r>
        <w:rPr>
          <w:rFonts w:hint="eastAsia" w:ascii="宋体" w:hAnsi="宋体" w:cs="宋体"/>
          <w:color w:val="000000" w:themeColor="text1"/>
          <w:sz w:val="20"/>
          <w:szCs w:val="20"/>
          <w:u w:val="none"/>
          <w:lang w:val="en-US" w:eastAsia="zh-CN"/>
          <w14:textFill>
            <w14:solidFill>
              <w14:schemeClr w14:val="tx1"/>
            </w14:solidFill>
          </w14:textFill>
        </w:rPr>
        <w:t>报价单位</w:t>
      </w:r>
      <w:r>
        <w:rPr>
          <w:rFonts w:hint="eastAsia" w:ascii="宋体" w:hAnsi="宋体" w:cs="宋体"/>
          <w:color w:val="000000" w:themeColor="text1"/>
          <w:sz w:val="20"/>
          <w:szCs w:val="20"/>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07E93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388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7E08">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61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企业管理费</w:t>
            </w:r>
          </w:p>
          <w:p w14:paraId="04F664F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0FC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利润</w:t>
            </w:r>
          </w:p>
          <w:p w14:paraId="1A1EB236">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905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施工组织措施费</w:t>
            </w:r>
          </w:p>
          <w:p w14:paraId="2033B819">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DBF9F">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备注</w:t>
            </w:r>
          </w:p>
        </w:tc>
      </w:tr>
      <w:tr w14:paraId="10EED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DD97F1A">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F13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79F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61D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EE7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0.</w:t>
            </w:r>
            <w:r>
              <w:rPr>
                <w:rFonts w:hint="eastAsia" w:ascii="宋体" w:hAnsi="宋体" w:cs="宋体"/>
                <w:i w:val="0"/>
                <w:iCs w:val="0"/>
                <w:color w:val="auto"/>
                <w:kern w:val="0"/>
                <w:sz w:val="20"/>
                <w:szCs w:val="20"/>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3D9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F28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35916B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F19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6649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08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A1D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378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383F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E8B57E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263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CC6C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004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095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FDE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E6B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A9F7C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AD9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2563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none"/>
                <w:lang w:val="en-US" w:eastAsia="zh-CN" w:bidi="ar"/>
              </w:rPr>
              <w:t>39</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68D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3547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21AC50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1C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CF4C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 </w:t>
            </w:r>
            <w:r>
              <w:rPr>
                <w:rFonts w:hint="eastAsia" w:ascii="宋体" w:hAnsi="宋体" w:cs="宋体"/>
                <w:i w:val="0"/>
                <w:iCs w:val="0"/>
                <w:color w:val="auto"/>
                <w:kern w:val="0"/>
                <w:sz w:val="20"/>
                <w:szCs w:val="20"/>
                <w:u w:val="none"/>
                <w:lang w:val="en-US" w:eastAsia="zh-CN" w:bidi="ar"/>
              </w:rPr>
              <w:t>171</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2C0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A49A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286E2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C18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7564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w:t>
            </w:r>
            <w:r>
              <w:rPr>
                <w:rFonts w:hint="eastAsia" w:ascii="宋体" w:hAnsi="宋体" w:cs="宋体"/>
                <w:i w:val="0"/>
                <w:iCs w:val="0"/>
                <w:color w:val="auto"/>
                <w:kern w:val="0"/>
                <w:sz w:val="20"/>
                <w:szCs w:val="20"/>
                <w:u w:val="none"/>
                <w:lang w:val="en-US" w:eastAsia="zh-CN" w:bidi="ar"/>
              </w:rPr>
              <w:t>4</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C8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3CC5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717D09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0D2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26547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152</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92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C217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exact"/>
        </w:trPr>
        <w:tc>
          <w:tcPr>
            <w:tcW w:w="987" w:type="dxa"/>
            <w:vMerge w:val="continue"/>
            <w:tcBorders>
              <w:left w:val="single" w:color="000000" w:sz="4" w:space="0"/>
              <w:right w:val="single" w:color="000000" w:sz="4" w:space="0"/>
            </w:tcBorders>
            <w:shd w:val="clear" w:color="auto" w:fill="auto"/>
            <w:vAlign w:val="center"/>
          </w:tcPr>
          <w:p w14:paraId="52A5E1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7E3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945E7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218</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D7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850B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9DBB4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72D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C9048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26</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235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FC66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47F92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913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8E84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25</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3D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B5B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91FE78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349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E161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332</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CA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DEAD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3EAD750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30F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FDDBF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008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232F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3F62108B">
            <w:pPr>
              <w:keepNext w:val="0"/>
              <w:keepLines w:val="0"/>
              <w:widowControl/>
              <w:suppressLineNumbers w:val="0"/>
              <w:jc w:val="center"/>
              <w:textAlignment w:val="center"/>
              <w:rPr>
                <w:rFonts w:hint="eastAsia" w:ascii="宋体" w:hAnsi="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基础</w:t>
            </w:r>
          </w:p>
          <w:p w14:paraId="128464D7">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B41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EF2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1E4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F5D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EF4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D2F1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739015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99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710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D0E3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667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68A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F906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CB20C2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BA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AEF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E8E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203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2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F2A5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32B5C4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03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1A08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89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5435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B18A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DB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1BC5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0E0E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428A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34320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AF7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39705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FE2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BAC8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139A9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C5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52E0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F47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8303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5" w:hRule="exact"/>
        </w:trPr>
        <w:tc>
          <w:tcPr>
            <w:tcW w:w="987" w:type="dxa"/>
            <w:vMerge w:val="continue"/>
            <w:tcBorders>
              <w:left w:val="single" w:color="000000" w:sz="4" w:space="0"/>
              <w:right w:val="single" w:color="000000" w:sz="4" w:space="0"/>
            </w:tcBorders>
            <w:shd w:val="clear" w:color="auto" w:fill="auto"/>
            <w:vAlign w:val="center"/>
          </w:tcPr>
          <w:p w14:paraId="5EF69F0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5AE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395E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DC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19E06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0A7F52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F2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8CB25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696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3536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FED3C2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24F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588B6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12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D84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E16B6B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CC1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9DBC9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429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1F2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70CB2F8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8F6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A5BE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6FF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1753D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52F019B">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58F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D7A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FF9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3E3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37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E1CF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C6D2F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73E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11AF">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94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FAB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E81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6C473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547BF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BFB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81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64C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D2E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CA45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08AD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1984F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564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BA154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8C2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69BA9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42DC40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623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ABD0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66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3DCC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4210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151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ECCC4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725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45A7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DF83B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51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1F57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E4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3753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8" w:hRule="exact"/>
        </w:trPr>
        <w:tc>
          <w:tcPr>
            <w:tcW w:w="987" w:type="dxa"/>
            <w:vMerge w:val="continue"/>
            <w:tcBorders>
              <w:left w:val="single" w:color="000000" w:sz="4" w:space="0"/>
              <w:right w:val="single" w:color="000000" w:sz="4" w:space="0"/>
            </w:tcBorders>
            <w:shd w:val="clear" w:color="auto" w:fill="auto"/>
            <w:vAlign w:val="center"/>
          </w:tcPr>
          <w:p w14:paraId="567A68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A37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EE74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CF7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7861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00C4A8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76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6567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E75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252C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CC4A1F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B13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D29A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AA3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A07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9232B3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40B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E2869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5C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1773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444747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7C5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600D8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1EF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bl>
    <w:p w14:paraId="15BE3549">
      <w:pPr>
        <w:rPr>
          <w:rFonts w:hint="eastAsia" w:ascii="宋体" w:hAnsi="宋体" w:eastAsia="宋体" w:cs="宋体"/>
          <w:color w:val="000000" w:themeColor="text1"/>
          <w:sz w:val="28"/>
          <w:szCs w:val="28"/>
          <w:u w:val="single"/>
          <w14:textFill>
            <w14:solidFill>
              <w14:schemeClr w14:val="tx1"/>
            </w14:solidFill>
          </w14:textFill>
        </w:rPr>
      </w:pPr>
    </w:p>
    <w:p w14:paraId="40052416">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153CB5B9">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4A15787C">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6F9D4C8A">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2CDD788B">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311FF315">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51828"/>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9F5FD9"/>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0D4A8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4FFE044B"/>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A3C45"/>
    <w:rsid w:val="66CB4B3F"/>
    <w:rsid w:val="66DA6628"/>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1E7D"/>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4180</Words>
  <Characters>4558</Characters>
  <Lines>173</Lines>
  <Paragraphs>48</Paragraphs>
  <TotalTime>1</TotalTime>
  <ScaleCrop>false</ScaleCrop>
  <LinksUpToDate>false</LinksUpToDate>
  <CharactersWithSpaces>5228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2026-01-08T09:38:31Z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