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LAGCGSKJFGS（Z）001</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伊田煤业采掘衔接工程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伊田煤业采掘衔接工程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伊田煤业采掘衔接工程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伊田煤业采掘衔接工程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green"/>
          <w14:textFill>
            <w14:solidFill>
              <w14:schemeClr w14:val="tx1"/>
            </w14:solidFill>
          </w14:textFill>
        </w:rPr>
        <w:t>2#煤层及11#煤层井巷工程施工以及综采工作面设备安装回撤施工。</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w:t>
      </w:r>
      <w:r>
        <w:rPr>
          <w:rFonts w:hint="eastAsia" w:ascii="宋体" w:hAnsi="宋体" w:cs="宋体"/>
          <w:color w:val="000000" w:themeColor="text1"/>
          <w:sz w:val="24"/>
          <w:szCs w:val="24"/>
          <w:highlight w:val="green"/>
          <w:lang w:val="en-US" w:eastAsia="zh-CN"/>
          <w14:textFill>
            <w14:solidFill>
              <w14:schemeClr w14:val="tx1"/>
            </w14:solidFill>
          </w14:textFill>
        </w:rPr>
        <w:t>6</w:t>
      </w:r>
      <w:r>
        <w:rPr>
          <w:rFonts w:hint="eastAsia" w:ascii="宋体" w:hAnsi="宋体" w:cs="宋体"/>
          <w:color w:val="000000" w:themeColor="text1"/>
          <w:sz w:val="24"/>
          <w:szCs w:val="24"/>
          <w:highlight w:val="green"/>
          <w:lang w:eastAsia="zh-CN"/>
          <w14:textFill>
            <w14:solidFill>
              <w14:schemeClr w14:val="tx1"/>
            </w14:solidFill>
          </w14:textFill>
        </w:rPr>
        <w:t>年</w:t>
      </w:r>
      <w:r>
        <w:rPr>
          <w:rFonts w:hint="eastAsia" w:ascii="宋体" w:hAnsi="宋体" w:cs="宋体"/>
          <w:color w:val="000000" w:themeColor="text1"/>
          <w:sz w:val="24"/>
          <w:szCs w:val="24"/>
          <w:highlight w:val="green"/>
          <w:lang w:val="en-US" w:eastAsia="zh-CN"/>
          <w14:textFill>
            <w14:solidFill>
              <w14:schemeClr w14:val="tx1"/>
            </w14:solidFill>
          </w14:textFill>
        </w:rPr>
        <w:t>1</w:t>
      </w:r>
      <w:r>
        <w:rPr>
          <w:rFonts w:hint="eastAsia" w:ascii="宋体" w:hAnsi="宋体" w:cs="宋体"/>
          <w:color w:val="000000" w:themeColor="text1"/>
          <w:sz w:val="24"/>
          <w:szCs w:val="24"/>
          <w:highlight w:val="green"/>
          <w:lang w:eastAsia="zh-C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5</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2026</w:t>
      </w:r>
      <w:r>
        <w:rPr>
          <w:rFonts w:hint="eastAsia" w:ascii="宋体" w:hAnsi="宋体" w:eastAsia="宋体" w:cs="宋体"/>
          <w:color w:val="000000" w:themeColor="text1"/>
          <w:sz w:val="24"/>
          <w:szCs w:val="24"/>
          <w:highlight w:val="green"/>
          <w14:textFill>
            <w14:solidFill>
              <w14:schemeClr w14:val="tx1"/>
            </w14:solidFill>
          </w14:textFill>
        </w:rPr>
        <w:t>年</w:t>
      </w:r>
      <w:r>
        <w:rPr>
          <w:rFonts w:hint="eastAsia" w:ascii="宋体" w:hAnsi="宋体" w:cs="宋体"/>
          <w:color w:val="000000" w:themeColor="text1"/>
          <w:sz w:val="24"/>
          <w:szCs w:val="24"/>
          <w:highlight w:val="green"/>
          <w:lang w:val="en-US" w:eastAsia="zh-CN"/>
          <w14:textFill>
            <w14:solidFill>
              <w14:schemeClr w14:val="tx1"/>
            </w14:solidFill>
          </w14:textFill>
        </w:rPr>
        <w:t>12</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31</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361天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green"/>
          <w:u w:val="single"/>
          <w:lang w:val="en-US" w:eastAsia="zh-CN"/>
          <w14:textFill>
            <w14:solidFill>
              <w14:schemeClr w14:val="tx1"/>
            </w14:solidFill>
          </w14:textFill>
        </w:rPr>
        <w:t>1、掘进及附属工程：企业管理费：12/8.3%，利润8.3/6%，组织措施费：0.8/0.5%；2、井下安装工程：企业管理费%：15.9 利润%10.7 组织措施费%：2.5；地面安装工程：企业管理费%：20.8 利润%11.9 组织措施费%：5.7。3、签证工单价（不含税）：井下直接工186元/工，井下辅助工159元/工，地面辅助工127元/工。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w:t>
      </w:r>
      <w:r>
        <w:rPr>
          <w:rFonts w:hint="eastAsia" w:ascii="宋体" w:hAnsi="宋体" w:cs="宋体"/>
          <w:color w:val="000000" w:themeColor="text1"/>
          <w:sz w:val="24"/>
          <w:szCs w:val="24"/>
          <w:highlight w:val="green"/>
          <w:u w:val="single"/>
          <w:lang w:val="en-US" w:eastAsia="zh-CN"/>
          <w14:textFill>
            <w14:solidFill>
              <w14:schemeClr w14:val="tx1"/>
            </w14:solidFill>
          </w14:textFill>
        </w:rPr>
        <w:t>1月4日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郭秀峰</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15934382556</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2026年1月3日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工程价款按规定的工程造价计算程序计算，掘进及附属工程</w:t>
      </w:r>
      <w:r>
        <w:rPr>
          <w:rFonts w:hint="eastAsia" w:ascii="宋体" w:hAnsi="宋体" w:cs="宋体"/>
          <w:color w:val="000000" w:themeColor="text1"/>
          <w:sz w:val="24"/>
          <w:szCs w:val="24"/>
          <w:highlight w:val="green"/>
          <w:u w:val="single"/>
          <w:lang w:eastAsia="zh-CN"/>
          <w14:textFill>
            <w14:solidFill>
              <w14:schemeClr w14:val="tx1"/>
            </w14:solidFill>
          </w14:textFill>
        </w:rPr>
        <w:t>、</w:t>
      </w:r>
      <w:r>
        <w:rPr>
          <w:rFonts w:hint="eastAsia" w:ascii="宋体" w:hAnsi="宋体" w:eastAsia="宋体" w:cs="宋体"/>
          <w:color w:val="000000" w:themeColor="text1"/>
          <w:sz w:val="24"/>
          <w:szCs w:val="24"/>
          <w:highlight w:val="green"/>
          <w:u w:val="single"/>
          <w14:textFill>
            <w14:solidFill>
              <w14:schemeClr w14:val="tx1"/>
            </w14:solidFill>
          </w14:textFill>
        </w:rPr>
        <w:t>安装工程三项费率按双方谈判完成的费率计取；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cs="宋体"/>
          <w:color w:val="000000" w:themeColor="text1"/>
          <w:sz w:val="24"/>
          <w:szCs w:val="24"/>
          <w:highlight w:val="green"/>
          <w:u w:val="single"/>
          <w:lang w:val="en-US" w:eastAsia="zh-CN"/>
          <w14:textFill>
            <w14:solidFill>
              <w14:schemeClr w14:val="tx1"/>
            </w14:solidFill>
          </w14:textFill>
        </w:rPr>
        <w:t>签证工不含税单价</w:t>
      </w:r>
      <w:r>
        <w:rPr>
          <w:rFonts w:hint="eastAsia" w:ascii="宋体" w:hAnsi="宋体" w:eastAsia="宋体" w:cs="宋体"/>
          <w:color w:val="000000" w:themeColor="text1"/>
          <w:sz w:val="24"/>
          <w:szCs w:val="24"/>
          <w:highlight w:val="green"/>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green"/>
          <w:u w:val="single"/>
          <w14:textFill>
            <w14:solidFill>
              <w14:schemeClr w14:val="tx1"/>
            </w14:solidFill>
          </w14:textFill>
        </w:rPr>
        <w:t>双方谈判完成的</w:t>
      </w:r>
      <w:r>
        <w:rPr>
          <w:rFonts w:hint="eastAsia" w:ascii="宋体" w:hAnsi="宋体" w:eastAsia="宋体" w:cs="宋体"/>
          <w:color w:val="000000" w:themeColor="text1"/>
          <w:sz w:val="24"/>
          <w:szCs w:val="24"/>
          <w:highlight w:val="green"/>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green"/>
          <w:u w:val="single"/>
          <w14:textFill>
            <w14:solidFill>
              <w14:schemeClr w14:val="tx1"/>
            </w14:solidFill>
          </w14:textFill>
        </w:rPr>
        <w:t>计取</w:t>
      </w:r>
      <w:r>
        <w:rPr>
          <w:rFonts w:hint="eastAsia" w:ascii="宋体" w:hAnsi="宋体" w:eastAsia="宋体" w:cs="宋体"/>
          <w:color w:val="000000" w:themeColor="text1"/>
          <w:sz w:val="24"/>
          <w:szCs w:val="24"/>
          <w:highlight w:val="green"/>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分包人应负责向承包人开具</w:t>
      </w:r>
      <w:r>
        <w:rPr>
          <w:rFonts w:hint="eastAsia" w:ascii="宋体" w:hAnsi="宋体" w:cs="宋体"/>
          <w:color w:val="000000" w:themeColor="text1"/>
          <w:sz w:val="24"/>
          <w:szCs w:val="24"/>
          <w:highlight w:val="green"/>
          <w:u w:val="single"/>
          <w:lang w:val="en-US" w:eastAsia="zh-CN"/>
          <w14:textFill>
            <w14:solidFill>
              <w14:schemeClr w14:val="tx1"/>
            </w14:solidFill>
          </w14:textFill>
        </w:rPr>
        <w:t>9</w:t>
      </w:r>
      <w:r>
        <w:rPr>
          <w:rFonts w:hint="eastAsia" w:ascii="宋体" w:hAnsi="宋体" w:eastAsia="宋体" w:cs="宋体"/>
          <w:color w:val="000000" w:themeColor="text1"/>
          <w:sz w:val="24"/>
          <w:szCs w:val="24"/>
          <w:highlight w:val="green"/>
          <w:u w:val="single"/>
          <w:lang w:eastAsia="zh-CN"/>
          <w14:textFill>
            <w14:solidFill>
              <w14:schemeClr w14:val="tx1"/>
            </w14:solidFill>
          </w14:textFill>
        </w:rPr>
        <w:t>%的增值税普通发票，在合同履行期间，如遇国家的税率调整，则价税合计的价格应相应调整，以发票开具的时间为准；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9663453"/>
      <w:bookmarkStart w:id="2" w:name="_Toc383940877"/>
      <w:bookmarkStart w:id="3" w:name="_Toc389602796"/>
      <w:bookmarkStart w:id="4" w:name="_Toc384137522"/>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71493141"/>
      <w:bookmarkStart w:id="7" w:name="_Toc389586296"/>
      <w:bookmarkStart w:id="8" w:name="_Toc384026352"/>
      <w:bookmarkStart w:id="9" w:name="_Toc384137523"/>
      <w:bookmarkStart w:id="10" w:name="_Toc389663454"/>
      <w:bookmarkStart w:id="11" w:name="_Toc383940878"/>
      <w:bookmarkStart w:id="12" w:name="_Toc389602797"/>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137525"/>
      <w:bookmarkStart w:id="15" w:name="_Toc384026354"/>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026355"/>
      <w:bookmarkStart w:id="19" w:name="_Toc384137526"/>
      <w:bookmarkStart w:id="20" w:name="_Toc389602800"/>
      <w:bookmarkStart w:id="21" w:name="_Toc389663457"/>
      <w:bookmarkStart w:id="22" w:name="_Toc383940881"/>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9602802"/>
      <w:bookmarkStart w:id="24" w:name="_Toc384026357"/>
      <w:bookmarkStart w:id="25" w:name="_Toc389663459"/>
      <w:bookmarkStart w:id="26" w:name="_Toc384137528"/>
      <w:bookmarkStart w:id="27" w:name="_Toc383940883"/>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4137529"/>
      <w:bookmarkStart w:id="30" w:name="_Toc389602803"/>
      <w:bookmarkStart w:id="31" w:name="_Toc384026358"/>
      <w:bookmarkStart w:id="32" w:name="_Toc383940884"/>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63546"/>
      <w:bookmarkStart w:id="34" w:name="_Toc384026467"/>
      <w:bookmarkStart w:id="35" w:name="_Toc389602889"/>
      <w:bookmarkStart w:id="36" w:name="_Toc383940993"/>
      <w:bookmarkStart w:id="37" w:name="_Toc384137615"/>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54024"/>
      <w:bookmarkStart w:id="39" w:name="_Toc389663548"/>
      <w:bookmarkStart w:id="40" w:name="_Toc384026469"/>
      <w:bookmarkStart w:id="41" w:name="_Toc389602891"/>
      <w:bookmarkStart w:id="42" w:name="_Toc383940995"/>
      <w:bookmarkStart w:id="43" w:name="_Toc384137617"/>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54025"/>
      <w:bookmarkStart w:id="55" w:name="_Toc389663554"/>
      <w:bookmarkStart w:id="56" w:name="_Toc389602897"/>
      <w:bookmarkStart w:id="57" w:name="_Toc384137618"/>
      <w:bookmarkStart w:id="58" w:name="_Toc383940996"/>
      <w:bookmarkStart w:id="59" w:name="_Toc384026470"/>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02900"/>
      <w:bookmarkStart w:id="65" w:name="_Toc384026471"/>
      <w:bookmarkStart w:id="66" w:name="_Toc384137619"/>
      <w:bookmarkStart w:id="67" w:name="_Toc383940997"/>
      <w:bookmarkStart w:id="68" w:name="_Toc384054026"/>
      <w:bookmarkStart w:id="69" w:name="_Toc38966355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3940999"/>
      <w:bookmarkStart w:id="82" w:name="_Toc384054028"/>
      <w:bookmarkStart w:id="83" w:name="_Toc384026473"/>
      <w:bookmarkStart w:id="84" w:name="_Toc389602908"/>
      <w:bookmarkStart w:id="85" w:name="_Toc384137621"/>
      <w:bookmarkStart w:id="86" w:name="_Toc389663565"/>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63566"/>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26474"/>
      <w:bookmarkStart w:id="100" w:name="_Toc389663570"/>
      <w:bookmarkStart w:id="101" w:name="_Toc389602913"/>
      <w:bookmarkStart w:id="102" w:name="_Toc383941000"/>
      <w:bookmarkStart w:id="103" w:name="_Toc384137622"/>
      <w:bookmarkStart w:id="104" w:name="_Toc384054029"/>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137625"/>
      <w:bookmarkStart w:id="110" w:name="_Toc389663582"/>
      <w:bookmarkStart w:id="111" w:name="_Toc384026477"/>
      <w:bookmarkStart w:id="112" w:name="_Toc389602925"/>
      <w:bookmarkStart w:id="113" w:name="_Toc383941003"/>
      <w:bookmarkStart w:id="114" w:name="_Toc384054032"/>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63585"/>
      <w:bookmarkStart w:id="118" w:name="_Toc383941004"/>
      <w:bookmarkStart w:id="119" w:name="_Toc384026478"/>
      <w:bookmarkStart w:id="120" w:name="_Toc384054033"/>
      <w:bookmarkStart w:id="121" w:name="_Toc389602929"/>
      <w:bookmarkStart w:id="122" w:name="_Toc384137626"/>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02932"/>
      <w:bookmarkStart w:id="124" w:name="_Toc384026479"/>
      <w:bookmarkStart w:id="125" w:name="_Toc384054034"/>
      <w:bookmarkStart w:id="126" w:name="_Toc383941005"/>
      <w:bookmarkStart w:id="127" w:name="_Toc384137627"/>
      <w:bookmarkStart w:id="128" w:name="_Toc389663589"/>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3941006"/>
      <w:bookmarkStart w:id="133" w:name="_Toc384026480"/>
      <w:bookmarkStart w:id="134" w:name="_Toc389663592"/>
      <w:bookmarkStart w:id="135" w:name="_Toc389602935"/>
      <w:bookmarkStart w:id="136" w:name="_Toc384054035"/>
      <w:bookmarkStart w:id="137" w:name="_Toc384137628"/>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026481"/>
      <w:bookmarkStart w:id="141" w:name="_Toc389602939"/>
      <w:bookmarkStart w:id="142" w:name="_Toc384054036"/>
      <w:bookmarkStart w:id="143" w:name="_Toc384137629"/>
      <w:bookmarkStart w:id="144" w:name="_Toc383941007"/>
      <w:bookmarkStart w:id="145" w:name="_Toc38966359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54039"/>
      <w:bookmarkStart w:id="151" w:name="_Toc384026484"/>
      <w:bookmarkStart w:id="152" w:name="_Toc389663606"/>
      <w:bookmarkStart w:id="153" w:name="_Toc384137632"/>
      <w:bookmarkStart w:id="154" w:name="_Toc383941010"/>
      <w:bookmarkStart w:id="155" w:name="_Toc389602947"/>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伊田煤业采掘衔接工程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LAGCGSKJFGS（Z）001</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伊田煤业采掘衔接工程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伊田煤业采掘衔接工程</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2026年1月3日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伊田煤业采掘衔接工程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伊田煤业采掘衔接工程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2026年1月3日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2026年1月4日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2026年1月3日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伊田煤业采掘衔接工程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noWrap w:val="0"/>
            <w:vAlign w:val="center"/>
          </w:tcPr>
          <w:p w14:paraId="1B9ED3B0">
            <w:pPr>
              <w:numPr>
                <w:ilvl w:val="0"/>
                <w:numId w:val="4"/>
              </w:num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掘进及附属工程：企业管理费：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%；2、井下安装工程：企业管理费%：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p w14:paraId="4FEEA1A6">
            <w:pPr>
              <w:numPr>
                <w:numId w:val="0"/>
              </w:numPr>
              <w:spacing w:line="24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3、签证工单价（不含税）：井下直接工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noWrap w:val="0"/>
            <w:vAlign w:val="center"/>
          </w:tcPr>
          <w:p w14:paraId="2CB71154">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1、掘进及附属工程：企业管理费：12/8.3%，利润8.3/6%，组织措施费：0.8/0.5%；2、井下安装工程：企业管理费%：15.9 利润%10.7 组织措施费%：2.5；地面安装工程：企业管理费%：20.8 利润%11.9 组织措施费%：5.7。3、签证工单价（不含税）：井下直接工186元/工，井下辅助工159元/工，地面辅助工127元/工。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361天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noWrap w:val="0"/>
            <w:vAlign w:val="center"/>
          </w:tcPr>
          <w:p w14:paraId="3F5BE488">
            <w:pPr>
              <w:numPr>
                <w:numId w:val="0"/>
              </w:num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1、</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掘进及附属工程：企业管理费：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%；2、井下安装工程：企业管理费%：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p w14:paraId="5FE0F14F">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3、签证工单价（不含税）：井下直接工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u w:val="single"/>
          <w14:textFill>
            <w14:solidFill>
              <w14:schemeClr w14:val="tx1"/>
            </w14:solidFill>
          </w14:textFill>
        </w:rPr>
      </w:pPr>
    </w:p>
    <w:p w14:paraId="0647A824">
      <w:pPr>
        <w:rPr>
          <w:rFonts w:hint="eastAsia" w:ascii="宋体" w:hAnsi="宋体" w:eastAsia="宋体" w:cs="宋体"/>
          <w:color w:val="000000" w:themeColor="text1"/>
          <w:sz w:val="28"/>
          <w:szCs w:val="28"/>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伊田煤业采掘衔接工程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2026年1月3日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伊田煤业采掘衔接工程</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2026年1月4日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伊田煤业采掘衔接工程</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2026年1月3日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bookmarkStart w:id="160" w:name="_GoBack"/>
      <w:bookmarkEnd w:id="160"/>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332E023"/>
    <w:multiLevelType w:val="singleLevel"/>
    <w:tmpl w:val="F332E023"/>
    <w:lvl w:ilvl="0" w:tentative="0">
      <w:start w:val="1"/>
      <w:numFmt w:val="decimal"/>
      <w:suff w:val="nothing"/>
      <w:lvlText w:val="%1、"/>
      <w:lvlJc w:val="left"/>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B3BBDDF"/>
    <w:multiLevelType w:val="singleLevel"/>
    <w:tmpl w:val="0B3BBDDF"/>
    <w:lvl w:ilvl="0" w:tentative="0">
      <w:start w:val="1"/>
      <w:numFmt w:val="chineseCounting"/>
      <w:suff w:val="space"/>
      <w:lvlText w:val="第%1部分"/>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B63973"/>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3194</Words>
  <Characters>3441</Characters>
  <Lines>173</Lines>
  <Paragraphs>48</Paragraphs>
  <TotalTime>6</TotalTime>
  <ScaleCrop>false</ScaleCrop>
  <LinksUpToDate>false</LinksUpToDate>
  <CharactersWithSpaces>4116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2026-01-12T09:23:20Z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23DCD27AC3C04EFE99D3FE17AFF4AFF6_13</vt:lpwstr>
  </property>
  <property fmtid="{D5CDD505-2E9C-101B-9397-08002B2CF9AE}" pid="4" name="KSOTemplateDocerSaveRecord">
    <vt:lpwstr>eyJoZGlkIjoiOGM3MzFjN2VmYWE3ZjVlZWQwZWRiMzBmNzAzZmVkZjkiLCJ1c2VySWQiOiIzOTUxOTg4NTgifQ==</vt:lpwstr>
  </property>
</Properties>
</file>