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8241516">
      <w:pPr>
        <w:ind w:firstLine="883"/>
        <w:jc w:val="center"/>
        <w:rPr>
          <w:rFonts w:hint="eastAsia" w:ascii="宋体" w:hAnsi="宋体" w:cs="宋体"/>
        </w:rPr>
      </w:pPr>
      <w:r>
        <w:rPr>
          <w:rFonts w:hint="eastAsia" w:ascii="宋体" w:hAnsi="宋体" w:cs="宋体"/>
          <w:b/>
          <w:bCs/>
          <w:sz w:val="44"/>
          <w:szCs w:val="44"/>
        </w:rPr>
        <w:t xml:space="preserve"> </w:t>
      </w: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85</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lang w:eastAsia="zh-CN"/>
        </w:rPr>
        <w:t>伊田煤业文体活动中心、自动化信息部库房改造，机修车间前地下管沟塌陷处理等零星维修改造工程装饰装修</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r>
        <w:rPr>
          <w:rFonts w:hint="eastAsia" w:ascii="宋体" w:hAnsi="宋体" w:cs="宋体"/>
          <w:b/>
          <w:bCs/>
          <w:sz w:val="32"/>
          <w:szCs w:val="32"/>
        </w:rPr>
        <w:t xml:space="preserve"> </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2D60B9F8">
      <w:pPr>
        <w:spacing w:line="500" w:lineRule="exact"/>
        <w:ind w:firstLine="480" w:firstLineChars="200"/>
        <w:rPr>
          <w:rFonts w:hint="eastAsia" w:ascii="宋体" w:hAnsi="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rPr>
        <w:t>三级及以上资质。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6DA6C027">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本次谈判包含</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1A87E0CC">
      <w:pPr>
        <w:widowControl/>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对伊田煤业职工餐厅、门房、俱乐部、办公楼、宿舍楼、女工楼、综合楼、澡堂、35KV变电所、招待所、污水处理站、文体活动中心等处墙地面天棚门窗及其他装饰装修内容进行维修改造</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w:t>
      </w:r>
      <w:r>
        <w:rPr>
          <w:rFonts w:hint="eastAsia" w:ascii="宋体" w:hAnsi="宋体" w:cs="宋体"/>
          <w:sz w:val="24"/>
          <w:szCs w:val="24"/>
          <w:u w:val="single"/>
          <w:lang w:val="en-US" w:eastAsia="zh-CN"/>
        </w:rPr>
        <w:t>25</w:t>
      </w:r>
      <w:r>
        <w:rPr>
          <w:rFonts w:hint="eastAsia" w:ascii="宋体" w:hAnsi="宋体" w:cs="宋体"/>
          <w:sz w:val="24"/>
          <w:szCs w:val="24"/>
          <w:u w:val="single"/>
        </w:rPr>
        <w:t>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hint="eastAsia" w:ascii="宋体" w:hAnsi="宋体" w:cs="宋体"/>
          <w:sz w:val="24"/>
          <w:szCs w:val="24"/>
          <w:u w:val="single"/>
          <w:lang w:val="en-US" w:eastAsia="zh-CN"/>
        </w:rPr>
        <w:t>896500</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lang w:val="en-US" w:eastAsia="zh-CN"/>
        </w:rPr>
        <w:t>下</w:t>
      </w:r>
      <w:r>
        <w:rPr>
          <w:rFonts w:hint="eastAsia" w:ascii="宋体" w:hAnsi="宋体" w:cs="宋体"/>
          <w:sz w:val="24"/>
          <w:szCs w:val="24"/>
          <w:u w:val="single"/>
        </w:rPr>
        <w:t>午</w:t>
      </w:r>
      <w:r>
        <w:rPr>
          <w:rFonts w:hint="eastAsia" w:ascii="宋体" w:hAnsi="宋体" w:cs="宋体"/>
          <w:sz w:val="24"/>
          <w:szCs w:val="24"/>
          <w:u w:val="single"/>
          <w:lang w:val="en-US" w:eastAsia="zh-CN"/>
        </w:rPr>
        <w:t>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rPr>
        <w:t>三级及以上资质</w:t>
      </w:r>
      <w:r>
        <w:rPr>
          <w:rFonts w:hint="eastAsia" w:ascii="宋体" w:hAnsi="宋体" w:cs="宋体"/>
          <w:sz w:val="24"/>
          <w:szCs w:val="24"/>
        </w:rPr>
        <w:t>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执行2018定额计价规则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38E9167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bookmarkStart w:id="137" w:name="_GoBack"/>
      <w:bookmarkEnd w:id="137"/>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137521"/>
      <w:bookmarkStart w:id="1" w:name="_Toc389602795"/>
      <w:bookmarkStart w:id="2" w:name="_Toc384026350"/>
      <w:bookmarkStart w:id="3" w:name="_Toc383940876"/>
      <w:bookmarkStart w:id="4" w:name="_Toc389663452"/>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3940877"/>
      <w:bookmarkStart w:id="6" w:name="_Toc389663453"/>
      <w:bookmarkStart w:id="7" w:name="_Toc389602796"/>
      <w:bookmarkStart w:id="8" w:name="_Toc384026351"/>
      <w:bookmarkStart w:id="9" w:name="_Toc384137522"/>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9663454"/>
      <w:bookmarkStart w:id="14" w:name="_Toc384137523"/>
      <w:bookmarkStart w:id="15" w:name="_Toc383940878"/>
      <w:bookmarkStart w:id="16" w:name="_Toc389602797"/>
      <w:bookmarkStart w:id="17" w:name="_Toc384026352"/>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89586297"/>
      <w:bookmarkStart w:id="20" w:name="_Toc35120348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9602800"/>
      <w:bookmarkStart w:id="23" w:name="_Toc384137526"/>
      <w:bookmarkStart w:id="24" w:name="_Toc383940881"/>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3940883"/>
      <w:bookmarkStart w:id="28" w:name="_Toc384026357"/>
      <w:bookmarkStart w:id="29" w:name="_Toc389602802"/>
      <w:bookmarkStart w:id="30" w:name="_Toc389663459"/>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3940884"/>
      <w:bookmarkStart w:id="32" w:name="_Toc389602803"/>
      <w:bookmarkStart w:id="33" w:name="_Toc384026358"/>
      <w:bookmarkStart w:id="34" w:name="_Toc384137529"/>
      <w:bookmarkStart w:id="35" w:name="_Toc389663460"/>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9602804"/>
      <w:bookmarkStart w:id="38" w:name="_Toc384026359"/>
      <w:bookmarkStart w:id="39" w:name="_Toc389663461"/>
      <w:bookmarkStart w:id="40"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9602889"/>
      <w:bookmarkStart w:id="42" w:name="_Toc389663546"/>
      <w:bookmarkStart w:id="43" w:name="_Toc383940993"/>
      <w:bookmarkStart w:id="44" w:name="_Toc384026467"/>
      <w:bookmarkStart w:id="45" w:name="_Toc384137615"/>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9602891"/>
      <w:bookmarkStart w:id="48" w:name="_Toc384026469"/>
      <w:bookmarkStart w:id="49" w:name="_Toc383940995"/>
      <w:bookmarkStart w:id="50" w:name="_Toc384054024"/>
      <w:bookmarkStart w:id="51" w:name="_Toc389663548"/>
      <w:bookmarkStart w:id="52" w:name="_Toc384137617"/>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67261693"/>
      <w:bookmarkStart w:id="128" w:name="_Toc296346727"/>
      <w:bookmarkStart w:id="129" w:name="_Toc296503226"/>
      <w:bookmarkStart w:id="130" w:name="_Toc296944565"/>
      <w:bookmarkStart w:id="131" w:name="_Toc296347225"/>
      <w:bookmarkStart w:id="132" w:name="_Toc296891266"/>
      <w:bookmarkStart w:id="133" w:name="_Toc296891054"/>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6、我方的报价文件自报价之日起有效期为 90日历日。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480" w:lineRule="auto"/>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rPr>
        <w:t>：</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eastAsia="宋体" w:cs="宋体"/>
          <w:sz w:val="24"/>
          <w:szCs w:val="24"/>
          <w:u w:val="single"/>
          <w:lang w:eastAsia="zh-CN"/>
        </w:rPr>
      </w:pPr>
      <w:r>
        <w:rPr>
          <w:rFonts w:hint="eastAsia" w:ascii="宋体" w:hAnsi="宋体" w:cs="宋体"/>
          <w:sz w:val="24"/>
          <w:szCs w:val="24"/>
        </w:rPr>
        <w:t>项目名称：</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黑龙关副斜井井口房、行人通道亮化及主井口硬化等零星工程装饰装修</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724310C">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7B9CAFC5">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48CF02A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63A35508">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w:t>
            </w:r>
            <w:r>
              <w:rPr>
                <w:rFonts w:hint="eastAsia" w:ascii="宋体" w:hAnsi="宋体" w:cs="宋体"/>
                <w:sz w:val="24"/>
                <w:szCs w:val="24"/>
                <w:lang w:val="en-US" w:eastAsia="zh-CN"/>
              </w:rPr>
              <w:t>报价中不包含水、电费用；</w:t>
            </w:r>
          </w:p>
          <w:p w14:paraId="55072BA6">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7D60B0E2">
            <w:pPr>
              <w:pStyle w:val="15"/>
              <w:ind w:firstLine="720" w:firstLineChars="300"/>
              <w:rPr>
                <w:rFonts w:hint="eastAsia" w:hAnsi="宋体" w:cs="宋体"/>
                <w:sz w:val="24"/>
                <w:szCs w:val="24"/>
              </w:rPr>
            </w:pPr>
            <w:r>
              <w:rPr>
                <w:rFonts w:hint="eastAsia" w:ascii="宋体" w:hAnsi="宋体" w:cs="宋体"/>
                <w:sz w:val="24"/>
                <w:szCs w:val="24"/>
              </w:rPr>
              <w:t>6、本工程开具增值税专用发票，税率为9%，如遇政策性因素，做相应调整。</w:t>
            </w: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500" w:lineRule="exact"/>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日举行的</w:t>
      </w:r>
      <w:r>
        <w:rPr>
          <w:rFonts w:hint="eastAsia" w:ascii="宋体" w:hAnsi="宋体" w:cs="宋体"/>
          <w:sz w:val="24"/>
          <w:szCs w:val="24"/>
          <w:u w:val="single"/>
          <w:lang w:eastAsia="zh-CN"/>
        </w:rPr>
        <w:t>伊田煤业文体活动中心、自动化信息部库房改造，机修车间前地下管沟塌陷处理等零星维修改造工程装饰装修</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27C4"/>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360D"/>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0F4C"/>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095E"/>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D6055"/>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26412B"/>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AA4F34"/>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32436E"/>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A2282B"/>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91515"/>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19369</Words>
  <Characters>20487</Characters>
  <Lines>726</Lines>
  <Paragraphs>773</Paragraphs>
  <TotalTime>0</TotalTime>
  <ScaleCrop>false</ScaleCrop>
  <LinksUpToDate>false</LinksUpToDate>
  <CharactersWithSpaces>24935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2025-12-31T00:35:55Z</dcterms:modified>
  <dc:title>山西潞安工程有限公司竞争性谈判文件</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