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2"/>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LAGCGSKJFGS（Z）042</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5"/>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余吾煤业北风井西翼进风大巷注浆工程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2025年2月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余吾煤业北风井西翼进风大巷注浆工程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余吾煤业北风井西翼进风大巷注浆工程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余吾煤业北风井西翼进风大巷注浆工程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green"/>
          <w14:textFill>
            <w14:solidFill>
              <w14:schemeClr w14:val="tx1"/>
            </w14:solidFill>
          </w14:textFill>
        </w:rPr>
        <w:t>北风井西翼进风大巷部分区段巷道发生收敛变形、煤体破碎，顶板下沉、浆皮开裂等现象，需对该区段进行注浆作业，施工范围150m。注浆范围150m*2帮，注浆孔每帮3-2-3布置，排距2m，孔径42mm，每孔深12m。注浆材料为“尤安特矿用无机双组份速凝（注浆）材料JSUT-1型”，注浆料分为A料和B料，质量配合比1:1，AB料每袋重均为25kg。每孔安装镀锌4分注浆花管12根、每根1m，4分连接接头11个，封孔器1个。注浆设备:气动注浆泵（2ZBQ30/4BT）、封孔器（KFSS-2/20）、气动搅拌桶（JSB630/1000）。</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2025年2月</w:t>
      </w:r>
      <w:r>
        <w:rPr>
          <w:rFonts w:hint="eastAsia" w:ascii="宋体" w:hAnsi="宋体" w:cs="宋体"/>
          <w:color w:val="000000" w:themeColor="text1"/>
          <w:sz w:val="24"/>
          <w:szCs w:val="24"/>
          <w:highlight w:val="green"/>
          <w:lang w:val="en-US" w:eastAsia="zh-CN"/>
          <w14:textFill>
            <w14:solidFill>
              <w14:schemeClr w14:val="tx1"/>
            </w14:solidFill>
          </w14:textFill>
        </w:rPr>
        <w:t>7</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w:t>
      </w:r>
      <w:r>
        <w:rPr>
          <w:rFonts w:hint="eastAsia" w:ascii="宋体" w:hAnsi="宋体" w:cs="宋体"/>
          <w:color w:val="000000" w:themeColor="text1"/>
          <w:sz w:val="24"/>
          <w:szCs w:val="24"/>
          <w:highlight w:val="green"/>
          <w:lang w:val="en-US" w:eastAsia="zh-CN"/>
          <w14:textFill>
            <w14:solidFill>
              <w14:schemeClr w14:val="tx1"/>
            </w14:solidFill>
          </w14:textFill>
        </w:rPr>
        <w:t>5</w:t>
      </w:r>
      <w:r>
        <w:rPr>
          <w:rFonts w:hint="eastAsia" w:ascii="宋体" w:hAnsi="宋体" w:eastAsia="宋体" w:cs="宋体"/>
          <w:color w:val="000000" w:themeColor="text1"/>
          <w:sz w:val="24"/>
          <w:szCs w:val="24"/>
          <w:highlight w:val="green"/>
          <w14:textFill>
            <w14:solidFill>
              <w14:schemeClr w14:val="tx1"/>
            </w14:solidFill>
          </w14:textFill>
        </w:rPr>
        <w:t>年</w:t>
      </w:r>
      <w:r>
        <w:rPr>
          <w:rFonts w:hint="eastAsia" w:ascii="宋体" w:hAnsi="宋体" w:cs="宋体"/>
          <w:color w:val="000000" w:themeColor="text1"/>
          <w:sz w:val="24"/>
          <w:szCs w:val="24"/>
          <w:highlight w:val="green"/>
          <w:lang w:val="en-US" w:eastAsia="zh-CN"/>
          <w14:textFill>
            <w14:solidFill>
              <w14:schemeClr w14:val="tx1"/>
            </w14:solidFill>
          </w14:textFill>
        </w:rPr>
        <w:t>7</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20</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164天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green"/>
          <w:u w:val="single"/>
          <w:lang w:val="en-US" w:eastAsia="zh-CN"/>
          <w14:textFill>
            <w14:solidFill>
              <w14:schemeClr w14:val="tx1"/>
            </w14:solidFill>
          </w14:textFill>
        </w:rPr>
        <w:t>北风井西翼进风大巷注浆工程合同价1857000元（不含税）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2025年2月5日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牛康宝</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15735502838</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2025年2月5日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708E22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1</w:t>
      </w:r>
      <w:r>
        <w:rPr>
          <w:rFonts w:hint="eastAsia" w:ascii="宋体" w:hAnsi="宋体" w:cs="宋体"/>
          <w:color w:val="auto"/>
          <w:sz w:val="24"/>
          <w:szCs w:val="24"/>
          <w:highlight w:val="none"/>
          <w:u w:val="single"/>
          <w:lang w:eastAsia="zh-CN"/>
        </w:rPr>
        <w:t>）2701工作面XLZ5陷落柱注浆加固工程合同价款</w:t>
      </w:r>
      <w:r>
        <w:rPr>
          <w:rFonts w:hint="eastAsia" w:ascii="宋体" w:hAnsi="宋体" w:cs="宋体"/>
          <w:color w:val="auto"/>
          <w:sz w:val="24"/>
          <w:szCs w:val="24"/>
          <w:highlight w:val="none"/>
          <w:u w:val="single"/>
          <w:lang w:val="en-US" w:eastAsia="zh-CN"/>
        </w:rPr>
        <w:t>按照双方谈判完的价格计取</w:t>
      </w:r>
      <w:r>
        <w:rPr>
          <w:rFonts w:hint="eastAsia" w:ascii="宋体" w:hAnsi="宋体" w:cs="宋体"/>
          <w:color w:val="auto"/>
          <w:sz w:val="24"/>
          <w:szCs w:val="24"/>
          <w:highlight w:val="none"/>
          <w:u w:val="single"/>
          <w:lang w:eastAsia="zh-CN"/>
        </w:rPr>
        <w:t>（不含税）。</w:t>
      </w:r>
      <w:r>
        <w:rPr>
          <w:rFonts w:hint="eastAsia" w:ascii="宋体" w:hAnsi="宋体" w:eastAsia="宋体" w:cs="宋体"/>
          <w:color w:val="auto"/>
          <w:sz w:val="24"/>
          <w:szCs w:val="24"/>
          <w:highlight w:val="none"/>
          <w:u w:val="single"/>
          <w:lang w:val="en-US" w:eastAsia="zh-CN"/>
        </w:rPr>
        <w:t>结算时以价税合计方式进行工程款结算。</w:t>
      </w:r>
    </w:p>
    <w:p w14:paraId="4F2C7A9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）本工程按照一般计税方法执行，税金及附加税费按山西省住房和城乡建设厅晋建标函〔2016〕383号通知的税金税率执行。乙方应负责向甲方开具9%的增值税发票。如有新的国家标准按新标准执行。</w:t>
      </w:r>
    </w:p>
    <w:p w14:paraId="30B2C63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63453"/>
      <w:bookmarkStart w:id="1" w:name="_Toc389602796"/>
      <w:bookmarkStart w:id="2" w:name="_Toc384137522"/>
      <w:bookmarkStart w:id="3" w:name="_Toc384026351"/>
      <w:bookmarkStart w:id="4" w:name="_Toc383940877"/>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89586296"/>
      <w:bookmarkStart w:id="7" w:name="_Toc351203481"/>
      <w:bookmarkStart w:id="8" w:name="_Toc384137523"/>
      <w:bookmarkStart w:id="9" w:name="_Toc389663454"/>
      <w:bookmarkStart w:id="10" w:name="_Toc383940878"/>
      <w:bookmarkStart w:id="11" w:name="_Toc389602797"/>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3940880"/>
      <w:bookmarkStart w:id="15" w:name="_Toc384137525"/>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3940881"/>
      <w:bookmarkStart w:id="19" w:name="_Toc389602800"/>
      <w:bookmarkStart w:id="20" w:name="_Toc384026355"/>
      <w:bookmarkStart w:id="21" w:name="_Toc384137526"/>
      <w:bookmarkStart w:id="22" w:name="_Toc389663457"/>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3940883"/>
      <w:bookmarkStart w:id="24" w:name="_Toc384026357"/>
      <w:bookmarkStart w:id="25" w:name="_Toc389663459"/>
      <w:bookmarkStart w:id="26" w:name="_Toc384137528"/>
      <w:bookmarkStart w:id="27" w:name="_Toc389602802"/>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9602803"/>
      <w:bookmarkStart w:id="30" w:name="_Toc383940884"/>
      <w:bookmarkStart w:id="31" w:name="_Toc384137529"/>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026467"/>
      <w:bookmarkStart w:id="34" w:name="_Toc389663546"/>
      <w:bookmarkStart w:id="35" w:name="_Toc389602889"/>
      <w:bookmarkStart w:id="36" w:name="_Toc384137615"/>
      <w:bookmarkStart w:id="37" w:name="_Toc383940993"/>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5"/>
        <w:rPr>
          <w:rFonts w:hint="eastAsia" w:ascii="宋体" w:hAnsi="宋体" w:eastAsia="宋体" w:cs="宋体"/>
          <w:color w:val="000000" w:themeColor="text1"/>
          <w:highlight w:val="none"/>
          <w14:textFill>
            <w14:solidFill>
              <w14:schemeClr w14:val="tx1"/>
            </w14:solidFill>
          </w14:textFill>
        </w:rPr>
      </w:pPr>
    </w:p>
    <w:p w14:paraId="435C512B">
      <w:pPr>
        <w:pStyle w:val="15"/>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3940995"/>
      <w:bookmarkStart w:id="39" w:name="_Toc389663548"/>
      <w:bookmarkStart w:id="40" w:name="_Toc384026469"/>
      <w:bookmarkStart w:id="41" w:name="_Toc389602891"/>
      <w:bookmarkStart w:id="42" w:name="_Toc384054024"/>
      <w:bookmarkStart w:id="43" w:name="_Toc384137617"/>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137618"/>
      <w:bookmarkStart w:id="55" w:name="_Toc384026470"/>
      <w:bookmarkStart w:id="56" w:name="_Toc384054025"/>
      <w:bookmarkStart w:id="57" w:name="_Toc389602897"/>
      <w:bookmarkStart w:id="58" w:name="_Toc383940996"/>
      <w:bookmarkStart w:id="59" w:name="_Toc389663554"/>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137619"/>
      <w:bookmarkStart w:id="65" w:name="_Toc384054026"/>
      <w:bookmarkStart w:id="66" w:name="_Toc389602900"/>
      <w:bookmarkStart w:id="67" w:name="_Toc383940997"/>
      <w:bookmarkStart w:id="68" w:name="_Toc389663557"/>
      <w:bookmarkStart w:id="69" w:name="_Toc384026471"/>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26473"/>
      <w:bookmarkStart w:id="82" w:name="_Toc389663565"/>
      <w:bookmarkStart w:id="83" w:name="_Toc384054028"/>
      <w:bookmarkStart w:id="84" w:name="_Toc389602908"/>
      <w:bookmarkStart w:id="85" w:name="_Toc383940999"/>
      <w:bookmarkStart w:id="86" w:name="_Toc384137621"/>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02909"/>
      <w:bookmarkStart w:id="88" w:name="_Toc389663566"/>
      <w:bookmarkStart w:id="89" w:name="_Toc381037618"/>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8"/>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02913"/>
      <w:bookmarkStart w:id="100" w:name="_Toc384137622"/>
      <w:bookmarkStart w:id="101" w:name="_Toc384026474"/>
      <w:bookmarkStart w:id="102" w:name="_Toc384054029"/>
      <w:bookmarkStart w:id="103" w:name="_Toc389663570"/>
      <w:bookmarkStart w:id="104" w:name="_Toc38394100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054032"/>
      <w:bookmarkStart w:id="110" w:name="_Toc384026477"/>
      <w:bookmarkStart w:id="111" w:name="_Toc383941003"/>
      <w:bookmarkStart w:id="112" w:name="_Toc384137625"/>
      <w:bookmarkStart w:id="113" w:name="_Toc389663582"/>
      <w:bookmarkStart w:id="114" w:name="_Toc389602925"/>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5"/>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26478"/>
      <w:bookmarkStart w:id="118" w:name="_Toc383941004"/>
      <w:bookmarkStart w:id="119" w:name="_Toc389663585"/>
      <w:bookmarkStart w:id="120" w:name="_Toc389602929"/>
      <w:bookmarkStart w:id="121" w:name="_Toc384137626"/>
      <w:bookmarkStart w:id="122" w:name="_Toc384054033"/>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137627"/>
      <w:bookmarkStart w:id="124" w:name="_Toc384054034"/>
      <w:bookmarkStart w:id="125" w:name="_Toc383941005"/>
      <w:bookmarkStart w:id="126" w:name="_Toc384026479"/>
      <w:bookmarkStart w:id="127" w:name="_Toc389663589"/>
      <w:bookmarkStart w:id="128" w:name="_Toc389602932"/>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54035"/>
      <w:bookmarkStart w:id="133" w:name="_Toc389602935"/>
      <w:bookmarkStart w:id="134" w:name="_Toc383941006"/>
      <w:bookmarkStart w:id="135" w:name="_Toc384026480"/>
      <w:bookmarkStart w:id="136" w:name="_Toc384137628"/>
      <w:bookmarkStart w:id="137" w:name="_Toc389663592"/>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4054036"/>
      <w:bookmarkStart w:id="142" w:name="_Toc384026481"/>
      <w:bookmarkStart w:id="143" w:name="_Toc389602939"/>
      <w:bookmarkStart w:id="144" w:name="_Toc383941007"/>
      <w:bookmarkStart w:id="145" w:name="_Toc38966359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9602947"/>
      <w:bookmarkStart w:id="151" w:name="_Toc384026484"/>
      <w:bookmarkStart w:id="152" w:name="_Toc383941010"/>
      <w:bookmarkStart w:id="153" w:name="_Toc384137632"/>
      <w:bookmarkStart w:id="154" w:name="_Toc384054039"/>
      <w:bookmarkStart w:id="155" w:name="_Toc389663606"/>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5"/>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5"/>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5"/>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6"/>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6"/>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3"/>
        <w:rPr>
          <w:rFonts w:hint="eastAsia" w:ascii="宋体" w:hAnsi="宋体" w:eastAsia="宋体" w:cs="宋体"/>
          <w:color w:val="000000" w:themeColor="text1"/>
          <w:highlight w:val="none"/>
          <w14:textFill>
            <w14:solidFill>
              <w14:schemeClr w14:val="tx1"/>
            </w14:solidFill>
          </w14:textFill>
        </w:rPr>
      </w:pPr>
    </w:p>
    <w:p w14:paraId="5F13F9FD">
      <w:pPr>
        <w:pStyle w:val="3"/>
        <w:rPr>
          <w:rFonts w:hint="eastAsia" w:ascii="宋体" w:hAnsi="宋体" w:eastAsia="宋体" w:cs="宋体"/>
          <w:color w:val="000000" w:themeColor="text1"/>
          <w:highlight w:val="none"/>
          <w14:textFill>
            <w14:solidFill>
              <w14:schemeClr w14:val="tx1"/>
            </w14:solidFill>
          </w14:textFill>
        </w:rPr>
      </w:pPr>
    </w:p>
    <w:p w14:paraId="05FE6096">
      <w:pPr>
        <w:pStyle w:val="3"/>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2"/>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余吾煤业北风井西翼进风大巷注浆工程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LAGCGSKJFGS（Z）042</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余吾煤业北风井西翼进风大巷注浆工程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2025年2月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余吾煤业北风井西翼进风大巷注浆工程</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2025年2月5日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余吾煤业北风井西翼进风大巷注浆工程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余吾煤业北风井西翼进风大巷注浆工程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2025年2月5日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2025年2月6日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2025年2月5日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8"/>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8"/>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余吾煤业北风井西翼进风大巷注浆工程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基础报价</w:t>
            </w:r>
          </w:p>
        </w:tc>
        <w:tc>
          <w:tcPr>
            <w:tcW w:w="6920"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green"/>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北风井西翼进风大巷注浆工程合同价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元（不含税）</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lang w:val="en-US" w:eastAsia="zh-CN"/>
                <w14:textFill>
                  <w14:solidFill>
                    <w14:schemeClr w14:val="tx1"/>
                  </w14:solidFill>
                </w14:textFill>
              </w:rPr>
              <w:t>谈判限价（最高不超过限价）</w:t>
            </w:r>
          </w:p>
        </w:tc>
        <w:tc>
          <w:tcPr>
            <w:tcW w:w="6920"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北风井西翼进风大巷注浆工程合同价1857000元（不含税）</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green"/>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164天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green"/>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法定代表人或其授权代表现场签字确认</w:t>
            </w:r>
          </w:p>
        </w:tc>
        <w:tc>
          <w:tcPr>
            <w:tcW w:w="6920" w:type="dxa"/>
            <w:gridSpan w:val="3"/>
            <w:noWrap w:val="0"/>
            <w:vAlign w:val="center"/>
          </w:tcPr>
          <w:p w14:paraId="191057B5">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北风井西翼进风大巷注浆工程合同价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元（不含税）</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u w:val="single"/>
          <w14:textFill>
            <w14:solidFill>
              <w14:schemeClr w14:val="tx1"/>
            </w14:solidFill>
          </w14:textFill>
        </w:rPr>
      </w:pPr>
    </w:p>
    <w:p w14:paraId="0647A824">
      <w:pPr>
        <w:rPr>
          <w:rFonts w:hint="eastAsia" w:ascii="宋体" w:hAnsi="宋体" w:eastAsia="宋体" w:cs="宋体"/>
          <w:color w:val="000000" w:themeColor="text1"/>
          <w:sz w:val="28"/>
          <w:szCs w:val="28"/>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余吾煤业北风井西翼进风大巷注浆工程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2025年2月5日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余吾煤业北风井西翼进风大巷注浆工程</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2025年2月6日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余吾煤业北风井西翼进风大巷注浆工程</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w:t>
      </w:r>
      <w:bookmarkStart w:id="160" w:name="_GoBack"/>
      <w:bookmarkEnd w:id="160"/>
      <w:r>
        <w:rPr>
          <w:rFonts w:hint="eastAsia" w:ascii="宋体" w:hAnsi="宋体" w:eastAsia="宋体" w:cs="宋体"/>
          <w:color w:val="000000" w:themeColor="text1"/>
          <w:sz w:val="28"/>
          <w:szCs w:val="28"/>
          <w:u w:val="none"/>
          <w:lang w:val="en-US" w:eastAsia="zh-CN"/>
          <w14:textFill>
            <w14:solidFill>
              <w14:schemeClr w14:val="tx1"/>
            </w14:solidFill>
          </w14:textFill>
        </w:rPr>
        <w:t>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2025年2月5日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2"/>
      <w:framePr w:wrap="around" w:vAnchor="text" w:hAnchor="margin" w:xAlign="center" w:y="1"/>
      <w:rPr>
        <w:rStyle w:val="20"/>
      </w:rPr>
    </w:pPr>
    <w:r>
      <w:fldChar w:fldCharType="begin"/>
    </w:r>
    <w:r>
      <w:rPr>
        <w:rStyle w:val="20"/>
      </w:rPr>
      <w:instrText xml:space="preserve">PAGE  </w:instrText>
    </w:r>
    <w:r>
      <w:fldChar w:fldCharType="end"/>
    </w:r>
  </w:p>
  <w:p w14:paraId="65D4A42E">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2"/>
      <w:framePr w:wrap="around" w:vAnchor="text" w:hAnchor="margin" w:xAlign="center" w:y="1"/>
      <w:rPr>
        <w:rStyle w:val="20"/>
      </w:rPr>
    </w:pPr>
    <w:r>
      <w:fldChar w:fldCharType="begin"/>
    </w:r>
    <w:r>
      <w:rPr>
        <w:rStyle w:val="20"/>
      </w:rPr>
      <w:instrText xml:space="preserve">PAGE  </w:instrText>
    </w:r>
    <w:r>
      <w:fldChar w:fldCharType="end"/>
    </w:r>
  </w:p>
  <w:p w14:paraId="4C44B9C6">
    <w:pPr>
      <w:pStyle w:val="12"/>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4641FE"/>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37E93"/>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5">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6">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9">
    <w:name w:val="Default Paragraph Font"/>
    <w:autoRedefine/>
    <w:qFormat/>
    <w:uiPriority w:val="0"/>
    <w:rPr>
      <w:rFonts w:ascii="Times New Roman" w:hAnsi="Times New Roman" w:eastAsia="宋体" w:cs="Times New Roman"/>
      <w:szCs w:val="24"/>
    </w:rPr>
  </w:style>
  <w:style w:type="table" w:default="1" w:styleId="17">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Body Text"/>
    <w:basedOn w:val="1"/>
    <w:next w:val="3"/>
    <w:link w:val="23"/>
    <w:autoRedefine/>
    <w:qFormat/>
    <w:uiPriority w:val="0"/>
    <w:pPr>
      <w:spacing w:after="120" w:afterLines="0"/>
    </w:pPr>
    <w:rPr>
      <w:rFonts w:ascii="Times New Roman" w:hAnsi="Times New Roman" w:eastAsia="宋体" w:cs="Times New Roman"/>
      <w:sz w:val="32"/>
      <w:szCs w:val="20"/>
    </w:rPr>
  </w:style>
  <w:style w:type="paragraph" w:customStyle="1" w:styleId="3">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Normal Indent"/>
    <w:basedOn w:val="1"/>
    <w:next w:val="1"/>
    <w:autoRedefine/>
    <w:qFormat/>
    <w:uiPriority w:val="0"/>
    <w:pPr>
      <w:ind w:firstLine="420" w:firstLineChars="200"/>
    </w:pPr>
  </w:style>
  <w:style w:type="paragraph" w:styleId="8">
    <w:name w:val="annotation text"/>
    <w:basedOn w:val="1"/>
    <w:link w:val="26"/>
    <w:autoRedefine/>
    <w:qFormat/>
    <w:uiPriority w:val="0"/>
    <w:pPr>
      <w:jc w:val="left"/>
    </w:pPr>
    <w:rPr>
      <w:rFonts w:ascii="Times New Roman" w:hAnsi="Times New Roman" w:eastAsia="宋体" w:cs="Times New Roman"/>
      <w:szCs w:val="24"/>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27"/>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5">
    <w:name w:val="Body Text First Indent"/>
    <w:basedOn w:val="2"/>
    <w:autoRedefine/>
    <w:qFormat/>
    <w:uiPriority w:val="0"/>
    <w:pPr>
      <w:ind w:firstLine="420" w:firstLineChars="100"/>
    </w:pPr>
    <w:rPr>
      <w:rFonts w:ascii="Times New Roman" w:hAnsi="Times New Roman" w:eastAsia="宋体" w:cs="Times New Roman"/>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2"/>
    <w:autoRedefine/>
    <w:qFormat/>
    <w:uiPriority w:val="0"/>
    <w:rPr>
      <w:rFonts w:ascii="Times New Roman" w:hAnsi="Times New Roman" w:eastAsia="宋体" w:cs="Times New Roman"/>
      <w:kern w:val="2"/>
      <w:sz w:val="32"/>
    </w:rPr>
  </w:style>
  <w:style w:type="character" w:customStyle="1" w:styleId="24">
    <w:name w:val="标题 2 字符"/>
    <w:link w:val="5"/>
    <w:autoRedefine/>
    <w:qFormat/>
    <w:uiPriority w:val="0"/>
    <w:rPr>
      <w:rFonts w:ascii="宋体" w:hAnsi="宋体" w:eastAsia="宋体" w:cs="Times New Roman"/>
      <w:b/>
      <w:bCs/>
      <w:kern w:val="2"/>
      <w:sz w:val="28"/>
      <w:szCs w:val="32"/>
    </w:rPr>
  </w:style>
  <w:style w:type="character" w:customStyle="1" w:styleId="25">
    <w:name w:val="标题 3 字符"/>
    <w:link w:val="6"/>
    <w:autoRedefine/>
    <w:qFormat/>
    <w:uiPriority w:val="0"/>
    <w:rPr>
      <w:rFonts w:ascii="Times New Roman" w:hAnsi="Times New Roman" w:eastAsia="宋体" w:cs="Times New Roman"/>
      <w:b/>
      <w:bCs/>
      <w:kern w:val="2"/>
      <w:sz w:val="32"/>
      <w:szCs w:val="32"/>
    </w:rPr>
  </w:style>
  <w:style w:type="character" w:customStyle="1" w:styleId="26">
    <w:name w:val="批注文字 字符"/>
    <w:link w:val="8"/>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6"/>
    <w:autoRedefine/>
    <w:qFormat/>
    <w:uiPriority w:val="0"/>
    <w:rPr>
      <w:rFonts w:ascii="宋体" w:hAnsi="宋体"/>
      <w:b/>
      <w:bCs/>
      <w:kern w:val="2"/>
      <w:sz w:val="24"/>
      <w:szCs w:val="32"/>
    </w:rPr>
  </w:style>
  <w:style w:type="paragraph" w:customStyle="1" w:styleId="48">
    <w:name w:val="表格文字"/>
    <w:basedOn w:val="1"/>
    <w:next w:val="2"/>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3194</Words>
  <Characters>3441</Characters>
  <Lines>173</Lines>
  <Paragraphs>48</Paragraphs>
  <TotalTime>1</TotalTime>
  <ScaleCrop>false</ScaleCrop>
  <LinksUpToDate>false</LinksUpToDate>
  <CharactersWithSpaces>4116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2025-12-25T06:06:27Z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1D5E99D6676D4206B90FF98A9DA5F93B_13</vt:lpwstr>
  </property>
  <property fmtid="{D5CDD505-2E9C-101B-9397-08002B2CF9AE}" pid="4" name="KSOTemplateDocerSaveRecord">
    <vt:lpwstr>eyJoZGlkIjoiOGM3MzFjN2VmYWE3ZjVlZWQwZWRiMzBmNzAzZmVkZjkiLCJ1c2VySWQiOiIzOTUxOTg4NTgifQ==</vt:lpwstr>
  </property>
</Properties>
</file>